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0D0" w:rsidRDefault="00EA60D0" w14:paraId="49F1CC7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EA60D0" w:rsidRDefault="00EA60D0" w14:paraId="5C3E9526" w14:textId="77777777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:rsidR="00EA60D0" w:rsidRDefault="00EA6A50" w14:paraId="67ECC66B" w14:textId="12A04E96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MERCOSUR/CT N° 8/ACTA N° </w:t>
      </w:r>
      <w:r w:rsidR="002B68E8">
        <w:rPr>
          <w:rFonts w:ascii="Arial" w:hAnsi="Arial" w:eastAsia="Arial" w:cs="Arial"/>
          <w:b/>
          <w:sz w:val="24"/>
          <w:szCs w:val="24"/>
        </w:rPr>
        <w:t>01</w:t>
      </w:r>
      <w:r>
        <w:rPr>
          <w:rFonts w:ascii="Arial" w:hAnsi="Arial" w:eastAsia="Arial" w:cs="Arial"/>
          <w:b/>
          <w:sz w:val="24"/>
          <w:szCs w:val="24"/>
        </w:rPr>
        <w:t>/2</w:t>
      </w:r>
      <w:r w:rsidR="002B68E8">
        <w:rPr>
          <w:rFonts w:ascii="Arial" w:hAnsi="Arial" w:eastAsia="Arial" w:cs="Arial"/>
          <w:b/>
          <w:sz w:val="24"/>
          <w:szCs w:val="24"/>
        </w:rPr>
        <w:t>4</w:t>
      </w:r>
    </w:p>
    <w:p w:rsidR="00EA60D0" w:rsidRDefault="00EA60D0" w14:paraId="0184DB21" w14:textId="77777777">
      <w:pPr>
        <w:widowControl/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</w:p>
    <w:p w:rsidR="00EA60D0" w:rsidRDefault="002B68E8" w14:paraId="60D735D0" w14:textId="435D3E30">
      <w:pPr>
        <w:widowControl/>
        <w:spacing w:after="16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bookmarkStart w:name="_heading=h.gjdgxs" w:colFirst="0" w:colLast="0" w:id="0"/>
      <w:bookmarkEnd w:id="0"/>
      <w:r>
        <w:rPr>
          <w:rFonts w:ascii="Arial" w:hAnsi="Arial" w:eastAsia="Arial" w:cs="Arial"/>
          <w:b/>
          <w:sz w:val="24"/>
          <w:szCs w:val="24"/>
        </w:rPr>
        <w:t>X</w:t>
      </w:r>
      <w:r w:rsidR="00EA6A50">
        <w:rPr>
          <w:rFonts w:ascii="Arial" w:hAnsi="Arial" w:eastAsia="Arial" w:cs="Arial"/>
          <w:b/>
          <w:sz w:val="24"/>
          <w:szCs w:val="24"/>
        </w:rPr>
        <w:t>I</w:t>
      </w:r>
      <w:r>
        <w:rPr>
          <w:rFonts w:ascii="Arial" w:hAnsi="Arial" w:eastAsia="Arial" w:cs="Arial"/>
          <w:b/>
          <w:sz w:val="24"/>
          <w:szCs w:val="24"/>
        </w:rPr>
        <w:t>V</w:t>
      </w:r>
      <w:r w:rsidR="00EA6A50">
        <w:rPr>
          <w:rFonts w:ascii="Arial" w:hAnsi="Arial" w:eastAsia="Arial" w:cs="Arial"/>
          <w:b/>
          <w:sz w:val="24"/>
          <w:szCs w:val="24"/>
        </w:rPr>
        <w:t xml:space="preserve"> REUNIÓN DEL COMITÉ TÉCNICO N° 8 “TRANSPOSICIÓN DE NOMENCLATURA DE ACUERDOS COMERCIALES CON TERCEROS PAÍSES Y GRUPO DE PAÍSES”</w:t>
      </w:r>
    </w:p>
    <w:p w:rsidR="00EA60D0" w:rsidRDefault="00EA60D0" w14:paraId="3B384894" w14:textId="77777777">
      <w:pPr>
        <w:widowControl/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</w:p>
    <w:p w:rsidR="00EA60D0" w:rsidRDefault="00EA6A50" w14:paraId="794516CD" w14:textId="70D8BE50">
      <w:pPr>
        <w:widowControl w:val="1"/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bookmarkStart w:name="_heading=h.30j0zll" w:id="1"/>
      <w:bookmarkEnd w:id="1"/>
      <w:r w:rsidRPr="37D857A4" w:rsidR="37D857A4">
        <w:rPr>
          <w:rFonts w:ascii="Arial" w:hAnsi="Arial" w:eastAsia="Arial" w:cs="Arial"/>
          <w:sz w:val="24"/>
          <w:szCs w:val="24"/>
        </w:rPr>
        <w:t xml:space="preserve">Se realizó el día 01 de febrero de 2024, en ejercicio de la </w:t>
      </w:r>
      <w:r w:rsidRPr="37D857A4" w:rsidR="37D857A4">
        <w:rPr>
          <w:rFonts w:ascii="Arial" w:hAnsi="Arial" w:eastAsia="Arial" w:cs="Arial"/>
          <w:i w:val="1"/>
          <w:iCs w:val="1"/>
          <w:sz w:val="24"/>
          <w:szCs w:val="24"/>
        </w:rPr>
        <w:t>Presidencia Pro Tempore</w:t>
      </w:r>
      <w:r w:rsidRPr="37D857A4" w:rsidR="37D857A4">
        <w:rPr>
          <w:rFonts w:ascii="Arial" w:hAnsi="Arial" w:eastAsia="Arial" w:cs="Arial"/>
          <w:sz w:val="24"/>
          <w:szCs w:val="24"/>
        </w:rPr>
        <w:t xml:space="preserve"> de Paraguay (PPTP), la X</w:t>
      </w:r>
      <w:sdt>
        <w:sdtPr>
          <w:id w:val="1589587468"/>
          <w:tag w:val="goog_rdk_0"/>
          <w:placeholder>
            <w:docPart w:val="DefaultPlaceholder_1081868574"/>
          </w:placeholder>
        </w:sdtPr>
        <w:sdtContent>
          <w:r w:rsidRPr="37D857A4" w:rsidR="37D857A4">
            <w:rPr>
              <w:rFonts w:ascii="Arial" w:hAnsi="Arial" w:eastAsia="Arial" w:cs="Arial"/>
              <w:color w:val="000000" w:themeColor="text1" w:themeTint="FF" w:themeShade="FF"/>
              <w:sz w:val="24"/>
              <w:szCs w:val="24"/>
            </w:rPr>
            <w:t>IV</w:t>
          </w:r>
        </w:sdtContent>
      </w:sdt>
      <w:r w:rsidRPr="37D857A4" w:rsidR="37D857A4">
        <w:rPr>
          <w:rFonts w:ascii="Arial" w:hAnsi="Arial" w:eastAsia="Arial" w:cs="Arial"/>
          <w:sz w:val="24"/>
          <w:szCs w:val="24"/>
        </w:rPr>
        <w:t xml:space="preserve"> Reunión Ordinaria del </w:t>
      </w:r>
      <w:r w:rsidRPr="37D857A4" w:rsidR="37D857A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Comité Técnico </w:t>
      </w:r>
      <w:r w:rsidRPr="37D857A4" w:rsidR="37D857A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N.º</w:t>
      </w:r>
      <w:r w:rsidRPr="37D857A4" w:rsidR="37D857A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8 “Transposición de Nomenclatura de Acuerdos Comerciales con Terceros Países”</w:t>
      </w:r>
      <w:r w:rsidRPr="37D857A4" w:rsidR="37D857A4">
        <w:rPr>
          <w:rFonts w:ascii="Arial" w:hAnsi="Arial" w:eastAsia="Arial" w:cs="Arial"/>
          <w:sz w:val="24"/>
          <w:szCs w:val="24"/>
        </w:rPr>
        <w:t>, por sistema de videoconferencia de conformidad con lo dispuesto en la Resolución GMC N° 19/12, con la presencia de las delegaciones de Argentina, Brasil, Paraguay y Uruguay, y de funcionarios de la Secretaría del MERCOSUR (SM).</w:t>
      </w:r>
    </w:p>
    <w:p w:rsidR="00EA60D0" w:rsidRDefault="00EA60D0" w14:paraId="6A88A9C9" w14:textId="77777777">
      <w:pPr>
        <w:widowControl/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="00EA60D0" w:rsidRDefault="00EA6A50" w14:paraId="17E672D7" w14:textId="3077965A">
      <w:pPr>
        <w:widowControl/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El Coordinador del CT N° 8, Luis Ojeda, en su carácter de Presidencia </w:t>
      </w:r>
      <w:r>
        <w:rPr>
          <w:rFonts w:ascii="Arial" w:hAnsi="Arial" w:eastAsia="Arial" w:cs="Arial"/>
          <w:i/>
          <w:sz w:val="24"/>
          <w:szCs w:val="24"/>
        </w:rPr>
        <w:t>Pro Tempore</w:t>
      </w:r>
      <w:r>
        <w:rPr>
          <w:rFonts w:ascii="Arial" w:hAnsi="Arial" w:eastAsia="Arial" w:cs="Arial"/>
          <w:sz w:val="24"/>
          <w:szCs w:val="24"/>
        </w:rPr>
        <w:t xml:space="preserve"> dio apertura a la reunión y agradeció la participación de las delegaciones. Seguidamente, expuso la agenda prevista, la que fue aprobada.</w:t>
      </w:r>
    </w:p>
    <w:p w:rsidR="00EA60D0" w:rsidRDefault="00EA60D0" w14:paraId="7ED06E61" w14:textId="77777777">
      <w:pPr>
        <w:spacing w:after="0"/>
        <w:ind w:hanging="2"/>
        <w:jc w:val="both"/>
        <w:rPr>
          <w:rFonts w:ascii="Arial" w:hAnsi="Arial" w:eastAsia="Arial" w:cs="Arial"/>
          <w:sz w:val="24"/>
          <w:szCs w:val="24"/>
        </w:rPr>
      </w:pPr>
    </w:p>
    <w:p w:rsidR="00EA60D0" w:rsidRDefault="00EA60D0" w14:paraId="1D277BFF" w14:textId="77777777">
      <w:pPr>
        <w:widowControl/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="00EA60D0" w:rsidRDefault="00EA6A50" w14:paraId="0ECCA9C0" w14:textId="77777777">
      <w:pPr>
        <w:widowControl/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La Lista de Participantes consta como </w:t>
      </w:r>
      <w:r>
        <w:rPr>
          <w:rFonts w:ascii="Arial" w:hAnsi="Arial" w:eastAsia="Arial" w:cs="Arial"/>
          <w:b/>
          <w:sz w:val="24"/>
          <w:szCs w:val="24"/>
        </w:rPr>
        <w:t>Anexo I</w:t>
      </w:r>
      <w:r>
        <w:rPr>
          <w:rFonts w:ascii="Arial" w:hAnsi="Arial" w:eastAsia="Arial" w:cs="Arial"/>
          <w:sz w:val="24"/>
          <w:szCs w:val="24"/>
        </w:rPr>
        <w:t>.</w:t>
      </w:r>
    </w:p>
    <w:p w:rsidR="00EA60D0" w:rsidRDefault="00EA60D0" w14:paraId="5C98E27F" w14:textId="77777777">
      <w:pPr>
        <w:widowControl/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="00EA60D0" w:rsidRDefault="00EA6A50" w14:paraId="7036015E" w14:textId="77777777">
      <w:pPr>
        <w:widowControl/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La Agenda consta como </w:t>
      </w:r>
      <w:r>
        <w:rPr>
          <w:rFonts w:ascii="Arial" w:hAnsi="Arial" w:eastAsia="Arial" w:cs="Arial"/>
          <w:b/>
          <w:sz w:val="24"/>
          <w:szCs w:val="24"/>
        </w:rPr>
        <w:t>Anexo II</w:t>
      </w:r>
      <w:r>
        <w:rPr>
          <w:rFonts w:ascii="Arial" w:hAnsi="Arial" w:eastAsia="Arial" w:cs="Arial"/>
          <w:sz w:val="24"/>
          <w:szCs w:val="24"/>
        </w:rPr>
        <w:t>.</w:t>
      </w:r>
    </w:p>
    <w:p w:rsidR="00EA60D0" w:rsidRDefault="00EA60D0" w14:paraId="62DF6E2E" w14:textId="77777777">
      <w:pPr>
        <w:widowControl/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="00EA60D0" w:rsidRDefault="00EA6A50" w14:paraId="3092BE71" w14:textId="77777777">
      <w:pPr>
        <w:widowControl/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El Resumen del Acta consta como </w:t>
      </w:r>
      <w:r>
        <w:rPr>
          <w:rFonts w:ascii="Arial" w:hAnsi="Arial" w:eastAsia="Arial" w:cs="Arial"/>
          <w:b/>
          <w:sz w:val="24"/>
          <w:szCs w:val="24"/>
        </w:rPr>
        <w:t>Anexo III</w:t>
      </w:r>
      <w:r>
        <w:rPr>
          <w:rFonts w:ascii="Arial" w:hAnsi="Arial" w:eastAsia="Arial" w:cs="Arial"/>
          <w:sz w:val="24"/>
          <w:szCs w:val="24"/>
        </w:rPr>
        <w:t>.</w:t>
      </w:r>
    </w:p>
    <w:p w:rsidR="00EA60D0" w:rsidRDefault="00EA60D0" w14:paraId="08A0C5D4" w14:textId="77777777">
      <w:pPr>
        <w:widowControl/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="00EA60D0" w:rsidRDefault="00EA60D0" w14:paraId="1AD20227" w14:textId="77777777">
      <w:pPr>
        <w:widowControl/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="00EA60D0" w:rsidRDefault="00EA6A50" w14:paraId="05A94520" w14:textId="77777777">
      <w:pPr>
        <w:widowControl/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Durante la reunión fueron tratados los siguientes temas:</w:t>
      </w:r>
    </w:p>
    <w:p w:rsidR="00EA60D0" w:rsidRDefault="00EA60D0" w14:paraId="49CD7D85" w14:textId="77777777">
      <w:pPr>
        <w:widowControl/>
        <w:spacing w:after="0" w:line="24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:rsidR="00EA60D0" w:rsidRDefault="00EA60D0" w14:paraId="6B552730" w14:textId="77777777">
      <w:pPr>
        <w:widowControl/>
        <w:spacing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EA60D0" w:rsidRDefault="003F1048" w14:paraId="3CCD4E67" w14:textId="6B49D6E4">
      <w:pPr>
        <w:widowControl/>
        <w:numPr>
          <w:ilvl w:val="0"/>
          <w:numId w:val="1"/>
        </w:numPr>
        <w:spacing w:after="0" w:line="259" w:lineRule="auto"/>
        <w:ind w:left="567" w:hanging="567"/>
        <w:rPr>
          <w:rFonts w:ascii="Arial" w:hAnsi="Arial" w:eastAsia="Arial" w:cs="Arial"/>
          <w:b/>
          <w:sz w:val="24"/>
          <w:szCs w:val="24"/>
        </w:rPr>
      </w:pPr>
      <w:bookmarkStart w:name="_heading=h.1fob9te" w:colFirst="0" w:colLast="0" w:id="2"/>
      <w:bookmarkEnd w:id="2"/>
      <w:r w:rsidRPr="003F1048">
        <w:rPr>
          <w:rFonts w:ascii="Arial" w:hAnsi="Arial" w:eastAsia="Arial" w:cs="Arial"/>
          <w:b/>
          <w:sz w:val="24"/>
          <w:szCs w:val="24"/>
        </w:rPr>
        <w:t>ACUERDO MCS – COLOMBIA (ACE 72)</w:t>
      </w:r>
    </w:p>
    <w:p w:rsidR="00EA60D0" w:rsidRDefault="00EA60D0" w14:paraId="60A2660F" w14:textId="77777777">
      <w:pPr>
        <w:widowControl/>
        <w:spacing w:after="0" w:line="240" w:lineRule="auto"/>
        <w:rPr>
          <w:rFonts w:ascii="Arial" w:hAnsi="Arial" w:eastAsia="Arial" w:cs="Arial"/>
        </w:rPr>
      </w:pPr>
    </w:p>
    <w:p w:rsidRPr="00F3112F" w:rsidR="00F3112F" w:rsidP="00504660" w:rsidRDefault="00F3112F" w14:paraId="24D64105" w14:textId="2FF47BA2">
      <w:pPr>
        <w:widowControl/>
        <w:spacing w:after="0" w:line="240" w:lineRule="auto"/>
        <w:jc w:val="both"/>
        <w:rPr>
          <w:rFonts w:ascii="Arial" w:hAnsi="Arial" w:eastAsia="Arial" w:cs="Arial"/>
        </w:rPr>
      </w:pPr>
      <w:r w:rsidRPr="00F3112F">
        <w:rPr>
          <w:rFonts w:ascii="Arial" w:hAnsi="Arial" w:eastAsia="Arial" w:cs="Arial"/>
        </w:rPr>
        <w:t>Argentina señala que Colombia expresó su intención de cerrar los asuntos relacionados con la actualización de preferencias arancelarias antes de abordar las cuestiones de origen.</w:t>
      </w:r>
      <w:r w:rsidR="0099567C">
        <w:rPr>
          <w:rFonts w:ascii="Arial" w:hAnsi="Arial" w:eastAsia="Arial" w:cs="Arial"/>
        </w:rPr>
        <w:t xml:space="preserve"> </w:t>
      </w:r>
      <w:r w:rsidRPr="00F3112F">
        <w:rPr>
          <w:rFonts w:ascii="Arial" w:hAnsi="Arial" w:eastAsia="Arial" w:cs="Arial"/>
        </w:rPr>
        <w:t>Brasil destaca la comunicación fluida con Colombia para coordinar los trabajos de manera eficiente.</w:t>
      </w:r>
      <w:r w:rsidR="0099567C">
        <w:rPr>
          <w:rFonts w:ascii="Arial" w:hAnsi="Arial" w:eastAsia="Arial" w:cs="Arial"/>
        </w:rPr>
        <w:t xml:space="preserve"> </w:t>
      </w:r>
      <w:r w:rsidRPr="00F3112F">
        <w:rPr>
          <w:rFonts w:ascii="Arial" w:hAnsi="Arial" w:eastAsia="Arial" w:cs="Arial"/>
        </w:rPr>
        <w:t>La coordinación menciona que esta es la primera reunión de coordinación, antes de involucrar a los técnicos de origen. Brasil coincide en que estos temas son competencia del Comité y deben discutirse en el seno del grupo. Propone abordar los puntos en las reuniones para agilizar las discusiones y alcanzar un consenso.</w:t>
      </w:r>
    </w:p>
    <w:p w:rsidRPr="00F3112F" w:rsidR="00F3112F" w:rsidP="00504660" w:rsidRDefault="00F3112F" w14:paraId="4A891F6D" w14:textId="77777777">
      <w:pPr>
        <w:widowControl/>
        <w:spacing w:after="0" w:line="240" w:lineRule="auto"/>
        <w:jc w:val="both"/>
        <w:rPr>
          <w:rFonts w:ascii="Arial" w:hAnsi="Arial" w:eastAsia="Arial" w:cs="Arial"/>
        </w:rPr>
      </w:pPr>
    </w:p>
    <w:p w:rsidRPr="00F3112F" w:rsidR="00F3112F" w:rsidP="00504660" w:rsidRDefault="00F3112F" w14:paraId="098784CC" w14:textId="4282C3A8">
      <w:pPr>
        <w:widowControl w:val="1"/>
        <w:spacing w:after="0" w:line="240" w:lineRule="auto"/>
        <w:jc w:val="both"/>
        <w:rPr>
          <w:rFonts w:ascii="Arial" w:hAnsi="Arial" w:eastAsia="Arial" w:cs="Arial"/>
        </w:rPr>
      </w:pPr>
      <w:r w:rsidRPr="37D857A4" w:rsidR="37D857A4">
        <w:rPr>
          <w:rFonts w:ascii="Arial" w:hAnsi="Arial" w:eastAsia="Arial" w:cs="Arial"/>
        </w:rPr>
        <w:t>Uruguay señala la escasez de recursos humanos para abordar los temas, pero destaca la voluntad de ambas partes de avanzar en la materia.</w:t>
      </w:r>
      <w:r w:rsidRPr="37D857A4" w:rsidR="37D857A4">
        <w:rPr>
          <w:rFonts w:ascii="Arial" w:hAnsi="Arial" w:eastAsia="Arial" w:cs="Arial"/>
        </w:rPr>
        <w:t xml:space="preserve"> Sugiere </w:t>
      </w:r>
      <w:r w:rsidRPr="37D857A4" w:rsidR="37D857A4">
        <w:rPr>
          <w:rFonts w:ascii="Arial" w:hAnsi="Arial" w:eastAsia="Arial" w:cs="Arial"/>
        </w:rPr>
        <w:t>darle</w:t>
      </w:r>
      <w:r w:rsidRPr="37D857A4" w:rsidR="37D857A4">
        <w:rPr>
          <w:rFonts w:ascii="Arial" w:hAnsi="Arial" w:eastAsia="Arial" w:cs="Arial"/>
        </w:rPr>
        <w:t xml:space="preserve"> prioridad a dichos trabajos.</w:t>
      </w:r>
    </w:p>
    <w:p w:rsidRPr="00F3112F" w:rsidR="00F3112F" w:rsidP="00504660" w:rsidRDefault="00F3112F" w14:paraId="2EFE44AD" w14:textId="77777777">
      <w:pPr>
        <w:widowControl/>
        <w:spacing w:after="0" w:line="240" w:lineRule="auto"/>
        <w:jc w:val="both"/>
        <w:rPr>
          <w:rFonts w:ascii="Arial" w:hAnsi="Arial" w:eastAsia="Arial" w:cs="Arial"/>
        </w:rPr>
      </w:pPr>
    </w:p>
    <w:p w:rsidRPr="00F3112F" w:rsidR="00F3112F" w:rsidP="00504660" w:rsidRDefault="00F3112F" w14:paraId="6B9D6E05" w14:textId="3C0B6256">
      <w:pPr>
        <w:widowControl/>
        <w:spacing w:after="0" w:line="240" w:lineRule="auto"/>
        <w:jc w:val="both"/>
        <w:rPr>
          <w:rFonts w:ascii="Arial" w:hAnsi="Arial" w:eastAsia="Arial" w:cs="Arial"/>
        </w:rPr>
      </w:pPr>
      <w:r w:rsidRPr="37D857A4" w:rsidR="37D857A4">
        <w:rPr>
          <w:rFonts w:ascii="Arial" w:hAnsi="Arial" w:eastAsia="Arial" w:cs="Arial"/>
        </w:rPr>
        <w:t xml:space="preserve">Se mencionan los avances interseccionales en los trabajos, especialmente en temas específicos. Brasil hace referencia a los códigos pendientes relacionados con el origen, en </w:t>
      </w:r>
      <w:r w:rsidRPr="37D857A4" w:rsidR="37D857A4">
        <w:rPr>
          <w:rFonts w:ascii="Arial" w:hAnsi="Arial" w:eastAsia="Arial" w:cs="Arial"/>
        </w:rPr>
        <w:t xml:space="preserve">particular sobre las notas referenciales. </w:t>
      </w:r>
      <w:r w:rsidRPr="37D857A4" w:rsidR="37D857A4">
        <w:rPr>
          <w:rFonts w:ascii="Arial" w:hAnsi="Arial" w:eastAsia="Arial" w:cs="Arial"/>
        </w:rPr>
        <w:t>El</w:t>
      </w:r>
      <w:r w:rsidRPr="37D857A4" w:rsidR="37D857A4">
        <w:rPr>
          <w:rFonts w:ascii="Arial" w:hAnsi="Arial" w:eastAsia="Arial" w:cs="Arial"/>
        </w:rPr>
        <w:t xml:space="preserve"> SAT/SM recuerda el correo electrónico enviado por Brasil con ajustes al archivo "CT 8 – Informe CCM", así como los archivos por país presentes en el SIM, en la carpeta "Colombia NALADISA 2017 - Origen".</w:t>
      </w:r>
    </w:p>
    <w:p w:rsidRPr="00F3112F" w:rsidR="00F3112F" w:rsidP="37D857A4" w:rsidRDefault="00F3112F" w14:paraId="1192B978" w14:textId="1B51D835">
      <w:pPr>
        <w:widowControl w:val="1"/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="003F1048" w:rsidP="00504660" w:rsidRDefault="00F3112F" w14:paraId="7C7FB2B4" w14:textId="44E1E99D">
      <w:pPr>
        <w:widowControl/>
        <w:spacing w:after="0" w:line="240" w:lineRule="auto"/>
        <w:jc w:val="both"/>
        <w:rPr>
          <w:rFonts w:ascii="Arial" w:hAnsi="Arial" w:eastAsia="Arial" w:cs="Arial"/>
        </w:rPr>
      </w:pPr>
      <w:r w:rsidRPr="00F3112F">
        <w:rPr>
          <w:rFonts w:ascii="Arial" w:hAnsi="Arial" w:eastAsia="Arial" w:cs="Arial"/>
        </w:rPr>
        <w:t>Brasil también menciona el análisis de la lista enviada por Colombia. La SAT/SM verifica el estado de los datos y la digitalización de los anexos del acuerdo, que se encuentran en proceso. Estos serán consolidados en una única lista para el proceso de trasposición.</w:t>
      </w:r>
    </w:p>
    <w:p w:rsidR="002B5C43" w:rsidP="00F3112F" w:rsidRDefault="002B5C43" w14:paraId="6E4BE31C" w14:textId="77777777">
      <w:pPr>
        <w:widowControl/>
        <w:spacing w:after="0" w:line="240" w:lineRule="auto"/>
        <w:rPr>
          <w:rFonts w:ascii="Arial" w:hAnsi="Arial" w:eastAsia="Arial" w:cs="Arial"/>
        </w:rPr>
      </w:pPr>
    </w:p>
    <w:p w:rsidR="00EA60D0" w:rsidRDefault="003F1048" w14:paraId="513236F3" w14:textId="43E937E4">
      <w:pPr>
        <w:widowControl/>
        <w:numPr>
          <w:ilvl w:val="0"/>
          <w:numId w:val="1"/>
        </w:numPr>
        <w:spacing w:after="0" w:line="259" w:lineRule="auto"/>
        <w:ind w:left="567" w:hanging="567"/>
        <w:rPr>
          <w:rFonts w:ascii="Arial" w:hAnsi="Arial" w:eastAsia="Arial" w:cs="Arial"/>
          <w:b/>
          <w:sz w:val="24"/>
          <w:szCs w:val="24"/>
        </w:rPr>
      </w:pPr>
      <w:r w:rsidRPr="003F1048">
        <w:rPr>
          <w:rFonts w:ascii="Arial" w:hAnsi="Arial" w:eastAsia="Arial" w:cs="Arial"/>
          <w:b/>
          <w:sz w:val="24"/>
          <w:szCs w:val="24"/>
        </w:rPr>
        <w:t>ACUERDO MCS – EFTA</w:t>
      </w:r>
    </w:p>
    <w:p w:rsidR="00415D4D" w:rsidP="00415D4D" w:rsidRDefault="00415D4D" w14:paraId="05CB1384" w14:textId="77777777">
      <w:pPr>
        <w:widowControl/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2B5C43" w:rsidP="37D857A4" w:rsidRDefault="002B5C43" w14:paraId="1DBCA241" w14:textId="32581EEF">
      <w:pPr>
        <w:widowControl w:val="1"/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 w:rsidRPr="37D857A4" w:rsidR="37D857A4">
        <w:rPr>
          <w:rFonts w:ascii="Arial" w:hAnsi="Arial" w:eastAsia="Arial" w:cs="Arial"/>
          <w:sz w:val="24"/>
          <w:szCs w:val="24"/>
        </w:rPr>
        <w:t xml:space="preserve">Las delegaciones informan que los trabajos se han detenido debido a divergencias en algunos rubros de vehículos eléctricos e híbridos. Estos productos no tenían codificaciones específicas en el Sistema Armonizado durante las negociaciones. Se acuerda consultar a las coordinaciones nacionales de cada país. Argentina propone marcar los ítems con divergencias y dejarlos pendientes hasta que se resuelvan estas situaciones. </w:t>
      </w:r>
    </w:p>
    <w:p w:rsidR="37D857A4" w:rsidP="37D857A4" w:rsidRDefault="37D857A4" w14:paraId="4C27D0E9" w14:textId="4B8DA059">
      <w:pPr>
        <w:pStyle w:val="Normal"/>
        <w:widowControl w:val="1"/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="00EA60D0" w:rsidRDefault="003F1048" w14:paraId="776D4BF5" w14:textId="025265A7">
      <w:pPr>
        <w:widowControl/>
        <w:numPr>
          <w:ilvl w:val="0"/>
          <w:numId w:val="1"/>
        </w:numPr>
        <w:spacing w:after="0" w:line="259" w:lineRule="auto"/>
        <w:ind w:left="567" w:hanging="567"/>
        <w:rPr>
          <w:rFonts w:ascii="Arial" w:hAnsi="Arial" w:eastAsia="Arial" w:cs="Arial"/>
          <w:b/>
          <w:sz w:val="24"/>
          <w:szCs w:val="24"/>
        </w:rPr>
      </w:pPr>
      <w:r w:rsidRPr="003F1048">
        <w:rPr>
          <w:rFonts w:ascii="Arial" w:hAnsi="Arial" w:eastAsia="Arial" w:cs="Arial"/>
          <w:b/>
          <w:sz w:val="24"/>
          <w:szCs w:val="24"/>
        </w:rPr>
        <w:t xml:space="preserve">ACUERDO MERCOSUR </w:t>
      </w:r>
      <w:r w:rsidR="005949A0">
        <w:rPr>
          <w:rFonts w:ascii="Arial" w:hAnsi="Arial" w:eastAsia="Arial" w:cs="Arial"/>
          <w:b/>
          <w:sz w:val="24"/>
          <w:szCs w:val="24"/>
        </w:rPr>
        <w:t>–</w:t>
      </w:r>
      <w:r w:rsidRPr="003F1048">
        <w:rPr>
          <w:rFonts w:ascii="Arial" w:hAnsi="Arial" w:eastAsia="Arial" w:cs="Arial"/>
          <w:b/>
          <w:sz w:val="24"/>
          <w:szCs w:val="24"/>
        </w:rPr>
        <w:t xml:space="preserve"> SACU</w:t>
      </w:r>
    </w:p>
    <w:p w:rsidR="005949A0" w:rsidP="005949A0" w:rsidRDefault="005949A0" w14:paraId="17355CF2" w14:textId="77777777">
      <w:pPr>
        <w:widowControl/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3F1048" w:rsidP="00504660" w:rsidRDefault="00504660" w14:paraId="02551BB4" w14:textId="636FD719">
      <w:pPr>
        <w:widowControl/>
        <w:spacing w:after="0" w:line="259" w:lineRule="auto"/>
        <w:jc w:val="both"/>
        <w:rPr>
          <w:rFonts w:ascii="Arial" w:hAnsi="Arial" w:eastAsia="Arial" w:cs="Arial"/>
          <w:bCs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</w:rPr>
        <w:t>El</w:t>
      </w:r>
      <w:r w:rsidRPr="00504660">
        <w:rPr>
          <w:rFonts w:ascii="Arial" w:hAnsi="Arial" w:eastAsia="Arial" w:cs="Arial"/>
          <w:bCs/>
          <w:sz w:val="24"/>
          <w:szCs w:val="24"/>
        </w:rPr>
        <w:t xml:space="preserve"> SAT/SM informa que la oferta del MERCOSUR se envió en octubre de 2022, durante la V Reunión del CT, y se remitió al RELEX para su intercambio con la contraparte. La oferta de SACU al MERCOSUR se acordó mantener en espera en la X Reunión del CT, en atención a las prioridades establecidas. Se acuerda analizar los próximos pasos en la próxima reunión con las coordinaciones nacionales.</w:t>
      </w:r>
    </w:p>
    <w:p w:rsidR="00504660" w:rsidRDefault="00504660" w14:paraId="5711D85C" w14:textId="77777777">
      <w:pPr>
        <w:widowControl/>
        <w:spacing w:after="0" w:line="259" w:lineRule="auto"/>
        <w:ind w:left="360"/>
        <w:rPr>
          <w:rFonts w:ascii="Arial" w:hAnsi="Arial" w:eastAsia="Arial" w:cs="Arial"/>
          <w:b/>
          <w:sz w:val="24"/>
          <w:szCs w:val="24"/>
        </w:rPr>
      </w:pPr>
    </w:p>
    <w:p w:rsidR="00EA60D0" w:rsidRDefault="00EA6A50" w14:paraId="74A21D43" w14:textId="77777777">
      <w:pPr>
        <w:widowControl/>
        <w:numPr>
          <w:ilvl w:val="0"/>
          <w:numId w:val="1"/>
        </w:numPr>
        <w:spacing w:after="0" w:line="259" w:lineRule="auto"/>
        <w:ind w:left="567" w:hanging="567"/>
        <w:rPr>
          <w:rFonts w:ascii="Arial" w:hAnsi="Arial" w:eastAsia="Arial" w:cs="Arial"/>
          <w:b/>
          <w:sz w:val="24"/>
          <w:szCs w:val="24"/>
        </w:rPr>
      </w:pPr>
      <w:bookmarkStart w:name="_heading=h.3znysh7" w:colFirst="0" w:colLast="0" w:id="3"/>
      <w:bookmarkEnd w:id="3"/>
      <w:r>
        <w:rPr>
          <w:rFonts w:ascii="Arial" w:hAnsi="Arial" w:eastAsia="Arial" w:cs="Arial"/>
          <w:b/>
          <w:sz w:val="24"/>
          <w:szCs w:val="24"/>
        </w:rPr>
        <w:t xml:space="preserve">OTROS TEMAS: </w:t>
      </w:r>
    </w:p>
    <w:p w:rsidR="00EA60D0" w:rsidRDefault="00EA60D0" w14:paraId="0A49780C" w14:textId="77777777">
      <w:pPr>
        <w:widowControl/>
        <w:spacing w:after="0" w:line="259" w:lineRule="auto"/>
        <w:ind w:left="720"/>
        <w:rPr>
          <w:rFonts w:ascii="Arial" w:hAnsi="Arial" w:eastAsia="Arial" w:cs="Arial"/>
          <w:b/>
          <w:sz w:val="24"/>
          <w:szCs w:val="24"/>
        </w:rPr>
      </w:pPr>
    </w:p>
    <w:p w:rsidR="00EA60D0" w:rsidP="003F1048" w:rsidRDefault="00EA6A50" w14:paraId="5BA15206" w14:textId="7034C5CA">
      <w:pPr>
        <w:widowControl/>
        <w:spacing w:after="0" w:line="259" w:lineRule="auto"/>
        <w:ind w:left="567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4.1 </w:t>
      </w:r>
      <w:r w:rsidR="003F1048">
        <w:rPr>
          <w:rFonts w:ascii="Arial" w:hAnsi="Arial" w:eastAsia="Arial" w:cs="Arial"/>
          <w:b/>
          <w:sz w:val="24"/>
          <w:szCs w:val="24"/>
        </w:rPr>
        <w:t>MERCOSUR – PERÚ (ACE 58)</w:t>
      </w:r>
    </w:p>
    <w:p w:rsidR="00EA60D0" w:rsidRDefault="00EA60D0" w14:paraId="34943E69" w14:textId="77777777">
      <w:pPr>
        <w:widowControl/>
        <w:spacing w:after="0" w:line="259" w:lineRule="auto"/>
        <w:jc w:val="both"/>
        <w:rPr>
          <w:rFonts w:ascii="Arial" w:hAnsi="Arial" w:eastAsia="Arial" w:cs="Arial"/>
          <w:sz w:val="24"/>
          <w:szCs w:val="24"/>
        </w:rPr>
      </w:pPr>
    </w:p>
    <w:p w:rsidR="006564EF" w:rsidRDefault="00D23928" w14:paraId="5CDD993C" w14:textId="378B7F59">
      <w:pPr>
        <w:widowControl/>
        <w:spacing w:after="0" w:line="259" w:lineRule="auto"/>
        <w:jc w:val="both"/>
        <w:rPr>
          <w:rFonts w:ascii="Arial" w:hAnsi="Arial" w:eastAsia="Arial" w:cs="Arial"/>
          <w:sz w:val="24"/>
          <w:szCs w:val="24"/>
        </w:rPr>
      </w:pPr>
      <w:r w:rsidRPr="00D23928">
        <w:rPr>
          <w:rFonts w:ascii="Arial" w:hAnsi="Arial" w:eastAsia="Arial" w:cs="Arial"/>
          <w:sz w:val="24"/>
          <w:szCs w:val="24"/>
        </w:rPr>
        <w:t xml:space="preserve">Este caso no está incluido en el plan de trabajo para el presente año, pero está listado para ser abordado </w:t>
      </w:r>
      <w:r>
        <w:rPr>
          <w:rFonts w:ascii="Arial" w:hAnsi="Arial" w:eastAsia="Arial" w:cs="Arial"/>
          <w:sz w:val="24"/>
          <w:szCs w:val="24"/>
        </w:rPr>
        <w:t>futuramente</w:t>
      </w:r>
      <w:r w:rsidRPr="00D23928">
        <w:rPr>
          <w:rFonts w:ascii="Arial" w:hAnsi="Arial" w:eastAsia="Arial" w:cs="Arial"/>
          <w:sz w:val="24"/>
          <w:szCs w:val="24"/>
        </w:rPr>
        <w:t>.</w:t>
      </w:r>
    </w:p>
    <w:p w:rsidR="00D23928" w:rsidRDefault="00D23928" w14:paraId="57AD9B97" w14:textId="77777777">
      <w:pPr>
        <w:widowControl/>
        <w:spacing w:after="0" w:line="259" w:lineRule="auto"/>
        <w:jc w:val="both"/>
        <w:rPr>
          <w:rFonts w:ascii="Arial" w:hAnsi="Arial" w:eastAsia="Arial" w:cs="Arial"/>
          <w:sz w:val="24"/>
          <w:szCs w:val="24"/>
        </w:rPr>
      </w:pPr>
    </w:p>
    <w:p w:rsidR="00EA60D0" w:rsidRDefault="00EA6A50" w14:paraId="7AEA20EC" w14:textId="2E922A7F">
      <w:pPr>
        <w:widowControl/>
        <w:spacing w:after="0" w:line="259" w:lineRule="auto"/>
        <w:ind w:left="1134" w:hanging="567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4.</w:t>
      </w:r>
      <w:r w:rsidR="003F1048">
        <w:rPr>
          <w:rFonts w:ascii="Arial" w:hAnsi="Arial" w:eastAsia="Arial" w:cs="Arial"/>
          <w:b/>
          <w:sz w:val="24"/>
          <w:szCs w:val="24"/>
        </w:rPr>
        <w:t>2</w:t>
      </w:r>
      <w:r>
        <w:rPr>
          <w:rFonts w:ascii="Arial" w:hAnsi="Arial" w:eastAsia="Arial" w:cs="Arial"/>
          <w:b/>
          <w:sz w:val="24"/>
          <w:szCs w:val="24"/>
        </w:rPr>
        <w:t>. Otros</w:t>
      </w:r>
    </w:p>
    <w:p w:rsidR="00EA60D0" w:rsidP="003F1048" w:rsidRDefault="00EA60D0" w14:paraId="2A750528" w14:textId="77777777">
      <w:pPr>
        <w:widowControl/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EA60D0" w:rsidRDefault="00EA6A50" w14:paraId="798E25B0" w14:textId="77777777">
      <w:pPr>
        <w:spacing w:after="0"/>
        <w:ind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PRÓXIMA REUNIÓN</w:t>
      </w:r>
    </w:p>
    <w:p w:rsidR="00EA60D0" w:rsidRDefault="00EA60D0" w14:paraId="5D48CCF1" w14:textId="77777777">
      <w:pPr>
        <w:spacing w:after="0"/>
        <w:ind w:hanging="2"/>
        <w:jc w:val="both"/>
        <w:rPr>
          <w:rFonts w:ascii="Arial" w:hAnsi="Arial" w:eastAsia="Arial" w:cs="Arial"/>
          <w:sz w:val="24"/>
          <w:szCs w:val="24"/>
        </w:rPr>
      </w:pPr>
    </w:p>
    <w:p w:rsidR="00EA60D0" w:rsidRDefault="00EA6A50" w14:paraId="4CEB2B11" w14:textId="12CBEEDD">
      <w:pPr>
        <w:spacing w:after="0"/>
        <w:ind w:hanging="2"/>
        <w:jc w:val="both"/>
        <w:rPr>
          <w:rFonts w:ascii="Arial" w:hAnsi="Arial" w:eastAsia="Arial" w:cs="Arial"/>
          <w:sz w:val="24"/>
          <w:szCs w:val="24"/>
        </w:rPr>
      </w:pPr>
      <w:r w:rsidRPr="37D857A4" w:rsidR="37D857A4">
        <w:rPr>
          <w:rFonts w:ascii="Arial" w:hAnsi="Arial" w:eastAsia="Arial" w:cs="Arial"/>
          <w:sz w:val="24"/>
          <w:szCs w:val="24"/>
        </w:rPr>
        <w:t xml:space="preserve">La próxima Reunión del CT N.º 8 será comunicada oportunamente por la Presidencia </w:t>
      </w:r>
      <w:r w:rsidRPr="37D857A4" w:rsidR="37D857A4">
        <w:rPr>
          <w:rFonts w:ascii="Arial" w:hAnsi="Arial" w:eastAsia="Arial" w:cs="Arial"/>
          <w:sz w:val="24"/>
          <w:szCs w:val="24"/>
        </w:rPr>
        <w:t>Pro Témpore</w:t>
      </w:r>
      <w:r w:rsidRPr="37D857A4" w:rsidR="37D857A4">
        <w:rPr>
          <w:rFonts w:ascii="Arial" w:hAnsi="Arial" w:eastAsia="Arial" w:cs="Arial"/>
          <w:sz w:val="24"/>
          <w:szCs w:val="24"/>
        </w:rPr>
        <w:t xml:space="preserve"> en ejercicio.</w:t>
      </w:r>
    </w:p>
    <w:p w:rsidR="006564EF" w:rsidRDefault="006564EF" w14:paraId="7D607CE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2130"/>
        </w:tabs>
        <w:spacing w:after="0" w:line="240" w:lineRule="auto"/>
        <w:ind w:hanging="2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</w:p>
    <w:p w:rsidR="008C0FD7" w:rsidRDefault="008C0FD7" w14:paraId="74A0F381" w14:textId="77777777">
      <w:pPr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br w:type="page"/>
      </w:r>
    </w:p>
    <w:p w:rsidR="00EA60D0" w:rsidRDefault="00EA6A50" w14:paraId="2E1917D0" w14:textId="6DAF2E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2130"/>
        </w:tabs>
        <w:spacing w:after="0" w:line="240" w:lineRule="auto"/>
        <w:ind w:hanging="2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lastRenderedPageBreak/>
        <w:t>ANEXOS</w:t>
      </w:r>
    </w:p>
    <w:p w:rsidR="00EA60D0" w:rsidRDefault="00EA60D0" w14:paraId="13B358E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2130"/>
        </w:tabs>
        <w:spacing w:after="0" w:line="240" w:lineRule="auto"/>
        <w:ind w:hanging="2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 w:rsidR="00EA60D0" w:rsidRDefault="00EA6A50" w14:paraId="6266AE0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hanging="2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Los Anexos que forman parte de la presente Acta son los siguientes:</w:t>
      </w:r>
    </w:p>
    <w:p w:rsidR="00EA60D0" w:rsidRDefault="00EA60D0" w14:paraId="182EEBAE" w14:textId="77777777">
      <w:pPr>
        <w:spacing w:after="0"/>
        <w:ind w:hanging="2"/>
        <w:rPr>
          <w:rFonts w:ascii="Arial" w:hAnsi="Arial" w:eastAsia="Arial" w:cs="Arial"/>
          <w:sz w:val="24"/>
          <w:szCs w:val="24"/>
        </w:rPr>
      </w:pPr>
    </w:p>
    <w:tbl>
      <w:tblPr>
        <w:tblStyle w:val="a1"/>
        <w:tblW w:w="907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688"/>
      </w:tblGrid>
      <w:tr w:rsidR="00EA60D0" w:rsidTr="00EE4736" w14:paraId="3A47B5B7" w14:textId="77777777">
        <w:tc>
          <w:tcPr>
            <w:tcW w:w="1384" w:type="dxa"/>
          </w:tcPr>
          <w:p w:rsidR="00EA60D0" w:rsidRDefault="00EA6A50" w14:paraId="5B144155" w14:textId="77777777">
            <w:pPr>
              <w:ind w:hanging="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Anexo I</w:t>
            </w:r>
          </w:p>
        </w:tc>
        <w:tc>
          <w:tcPr>
            <w:tcW w:w="7688" w:type="dxa"/>
          </w:tcPr>
          <w:p w:rsidR="00EA60D0" w:rsidRDefault="00EA6A50" w14:paraId="331B52E4" w14:textId="77777777">
            <w:pPr>
              <w:ind w:hanging="2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Lista de Participantes</w:t>
            </w:r>
          </w:p>
        </w:tc>
      </w:tr>
      <w:tr w:rsidR="00EA60D0" w:rsidTr="00EE4736" w14:paraId="23B6896C" w14:textId="77777777">
        <w:tc>
          <w:tcPr>
            <w:tcW w:w="1384" w:type="dxa"/>
          </w:tcPr>
          <w:p w:rsidR="00EA60D0" w:rsidRDefault="00EA6A50" w14:paraId="6C1312DB" w14:textId="77777777">
            <w:pPr>
              <w:ind w:hanging="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Anexo II</w:t>
            </w:r>
          </w:p>
        </w:tc>
        <w:tc>
          <w:tcPr>
            <w:tcW w:w="7688" w:type="dxa"/>
          </w:tcPr>
          <w:p w:rsidR="00EA60D0" w:rsidRDefault="00EA6A50" w14:paraId="32C7528C" w14:textId="77777777">
            <w:pPr>
              <w:ind w:hanging="2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Agenda aprobada</w:t>
            </w:r>
          </w:p>
        </w:tc>
      </w:tr>
      <w:tr w:rsidR="00EA60D0" w:rsidTr="00EE4736" w14:paraId="3D9A3383" w14:textId="77777777">
        <w:tc>
          <w:tcPr>
            <w:tcW w:w="1384" w:type="dxa"/>
          </w:tcPr>
          <w:p w:rsidR="00EA60D0" w:rsidRDefault="00EA6A50" w14:paraId="2CC2AF6E" w14:textId="77777777">
            <w:pPr>
              <w:ind w:hanging="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Anexo III</w:t>
            </w:r>
          </w:p>
        </w:tc>
        <w:tc>
          <w:tcPr>
            <w:tcW w:w="7688" w:type="dxa"/>
          </w:tcPr>
          <w:p w:rsidR="00EA60D0" w:rsidRDefault="00EA6A50" w14:paraId="43D0D578" w14:textId="77777777">
            <w:pPr>
              <w:ind w:hanging="2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Resumen del Acta</w:t>
            </w:r>
          </w:p>
        </w:tc>
      </w:tr>
    </w:tbl>
    <w:p w:rsidR="00EA60D0" w:rsidRDefault="00EA60D0" w14:paraId="22EAD604" w14:textId="77777777">
      <w:pPr>
        <w:spacing w:after="0"/>
        <w:rPr>
          <w:rFonts w:ascii="Arial" w:hAnsi="Arial" w:eastAsia="Arial" w:cs="Arial"/>
          <w:sz w:val="24"/>
          <w:szCs w:val="24"/>
        </w:rPr>
      </w:pPr>
      <w:bookmarkStart w:name="_heading=h.g0cy9kpozuvi" w:colFirst="0" w:colLast="0" w:id="4"/>
      <w:bookmarkEnd w:id="4"/>
    </w:p>
    <w:p w:rsidR="00EA60D0" w:rsidRDefault="00EA60D0" w14:paraId="26212B3A" w14:textId="77777777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="008C0FD7" w:rsidRDefault="008C0FD7" w14:paraId="7554885E" w14:textId="77777777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="00EA60D0" w:rsidRDefault="00EA60D0" w14:paraId="61840664" w14:textId="77777777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19"/>
        <w:gridCol w:w="4419"/>
      </w:tblGrid>
      <w:tr w:rsidR="00EA60D0" w:rsidTr="1D01380E" w14:paraId="3B418666" w14:textId="77777777">
        <w:tc>
          <w:tcPr>
            <w:tcW w:w="4419" w:type="dxa"/>
            <w:tcMar/>
          </w:tcPr>
          <w:p w:rsidR="00EA60D0" w:rsidRDefault="00EA60D0" w14:paraId="20F61E9E" w14:textId="77777777">
            <w:pPr>
              <w:pBdr>
                <w:bottom w:val="single" w:color="000000" w:sz="12" w:space="1"/>
              </w:pBd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EA60D0" w:rsidRDefault="00EA60D0" w14:paraId="1D0169A5" w14:textId="77777777">
            <w:pPr>
              <w:pBdr>
                <w:bottom w:val="single" w:color="000000" w:sz="12" w:space="1"/>
              </w:pBd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EA60D0" w:rsidRDefault="00EA60D0" w14:paraId="5A3E950A" w14:textId="77777777">
            <w:pPr>
              <w:pBdr>
                <w:bottom w:val="single" w:color="000000" w:sz="12" w:space="1"/>
              </w:pBd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EA60D0" w:rsidRDefault="00EA6A50" w14:paraId="2DE88005" w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Por la delegación de Argentina</w:t>
            </w:r>
          </w:p>
          <w:p w:rsidR="00EA60D0" w:rsidRDefault="00EA6A50" w14:paraId="4B83FC0F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Paola Alaguibe</w:t>
            </w:r>
          </w:p>
          <w:p w:rsidR="00EA60D0" w:rsidRDefault="00EA60D0" w14:paraId="2169A6CA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EA60D0" w:rsidRDefault="00EA60D0" w14:paraId="6D3056F7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EA60D0" w:rsidRDefault="00EA60D0" w14:paraId="72853BC9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419" w:type="dxa"/>
            <w:tcMar/>
          </w:tcPr>
          <w:p w:rsidR="00EA60D0" w:rsidRDefault="00EA60D0" w14:paraId="7C538A2C" w14:textId="77777777">
            <w:pPr>
              <w:pBdr>
                <w:bottom w:val="single" w:color="000000" w:sz="12" w:space="1"/>
              </w:pBd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EA60D0" w:rsidRDefault="00EA60D0" w14:paraId="2BE8B970" w14:textId="77777777">
            <w:pPr>
              <w:pBdr>
                <w:bottom w:val="single" w:color="000000" w:sz="12" w:space="1"/>
              </w:pBd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EA60D0" w:rsidRDefault="00EA60D0" w14:paraId="1A1ED67B" w14:textId="77777777">
            <w:pPr>
              <w:pBdr>
                <w:bottom w:val="single" w:color="000000" w:sz="12" w:space="1"/>
              </w:pBd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EA60D0" w:rsidRDefault="00EA6A50" w14:paraId="2C16E987" w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Por la delegación de Brasil</w:t>
            </w:r>
          </w:p>
          <w:p w:rsidR="00EA60D0" w:rsidRDefault="00844B4F" w14:paraId="0609A668" w14:textId="1B0005F2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bookmarkStart w:name="_heading=h.2et92p0" w:id="5"/>
            <w:bookmarkEnd w:id="5"/>
            <w:r w:rsidRPr="1D01380E" w:rsidR="1D01380E">
              <w:rPr>
                <w:rFonts w:ascii="Arial" w:hAnsi="Arial" w:eastAsia="Arial" w:cs="Arial"/>
                <w:sz w:val="24"/>
                <w:szCs w:val="24"/>
              </w:rPr>
              <w:t xml:space="preserve">Gilberto </w:t>
            </w:r>
            <w:r w:rsidRPr="1D01380E" w:rsidR="1D01380E">
              <w:rPr>
                <w:rFonts w:ascii="Arial" w:hAnsi="Arial" w:eastAsia="Arial" w:cs="Arial"/>
                <w:sz w:val="24"/>
                <w:szCs w:val="24"/>
              </w:rPr>
              <w:t>Larcher</w:t>
            </w:r>
          </w:p>
        </w:tc>
      </w:tr>
      <w:tr w:rsidR="00EA60D0" w:rsidTr="1D01380E" w14:paraId="1F0716AB" w14:textId="77777777">
        <w:tc>
          <w:tcPr>
            <w:tcW w:w="4419" w:type="dxa"/>
            <w:tcMar/>
          </w:tcPr>
          <w:p w:rsidR="00EA60D0" w:rsidRDefault="00EA60D0" w14:paraId="5BCDCDBF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EA60D0" w:rsidRDefault="00EA60D0" w14:paraId="015AF84D" w14:textId="77777777">
            <w:pPr>
              <w:pBdr>
                <w:bottom w:val="single" w:color="000000" w:sz="12" w:space="1"/>
              </w:pBd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EA60D0" w:rsidRDefault="00EA6A50" w14:paraId="19F44245" w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Por la delegación de Paraguay</w:t>
            </w:r>
          </w:p>
          <w:p w:rsidR="00EA60D0" w:rsidRDefault="00EA6A50" w14:paraId="4A9F0F8F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Luis Ojeda</w:t>
            </w:r>
          </w:p>
          <w:p w:rsidR="00EA60D0" w:rsidRDefault="00EA60D0" w14:paraId="5324B2A8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EA60D0" w:rsidRDefault="00EA60D0" w14:paraId="41E6C720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419" w:type="dxa"/>
            <w:tcMar/>
          </w:tcPr>
          <w:p w:rsidR="00EA60D0" w:rsidRDefault="00EA60D0" w14:paraId="4D71E646" w14:textId="77777777">
            <w:pPr>
              <w:pBdr>
                <w:bottom w:val="single" w:color="000000" w:sz="12" w:space="1"/>
              </w:pBd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EA60D0" w:rsidRDefault="00EA60D0" w14:paraId="259BE87E" w14:textId="77777777">
            <w:pPr>
              <w:pBdr>
                <w:bottom w:val="single" w:color="000000" w:sz="12" w:space="1"/>
              </w:pBd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EA60D0" w:rsidRDefault="00EA6A50" w14:paraId="6932F42D" w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Por la delegación de Uruguay</w:t>
            </w:r>
          </w:p>
          <w:p w:rsidR="00EA60D0" w:rsidRDefault="00EA6A50" w14:paraId="62CE4A59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Sofia Tuyaré</w:t>
            </w:r>
          </w:p>
        </w:tc>
      </w:tr>
    </w:tbl>
    <w:p w:rsidR="00EA60D0" w:rsidRDefault="00EA60D0" w14:paraId="6DFD6BE5" w14:textId="77777777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="00EA60D0" w:rsidRDefault="00EA60D0" w14:paraId="2E211EDD" w14:textId="77777777">
      <w:pPr>
        <w:rPr>
          <w:rFonts w:ascii="Arial" w:hAnsi="Arial" w:eastAsia="Arial" w:cs="Arial"/>
          <w:sz w:val="24"/>
          <w:szCs w:val="24"/>
        </w:rPr>
      </w:pPr>
    </w:p>
    <w:sectPr w:rsidR="00EA60D0">
      <w:headerReference w:type="default" r:id="rId9"/>
      <w:footerReference w:type="default" r:id="rId10"/>
      <w:headerReference w:type="first" r:id="rId11"/>
      <w:footerReference w:type="first" r:id="rId12"/>
      <w:pgSz w:w="12240" w:h="15840" w:orient="portrait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4A75" w:rsidRDefault="00264A75" w14:paraId="5FCCDA0C" w14:textId="77777777">
      <w:pPr>
        <w:spacing w:after="0" w:line="240" w:lineRule="auto"/>
      </w:pPr>
      <w:r>
        <w:separator/>
      </w:r>
    </w:p>
  </w:endnote>
  <w:endnote w:type="continuationSeparator" w:id="0">
    <w:p w:rsidR="00264A75" w:rsidRDefault="00264A75" w14:paraId="3AD0604A" w14:textId="77777777">
      <w:pPr>
        <w:spacing w:after="0" w:line="240" w:lineRule="auto"/>
      </w:pPr>
      <w:r>
        <w:continuationSeparator/>
      </w:r>
    </w:p>
  </w:endnote>
  <w:endnote w:type="continuationNotice" w:id="1">
    <w:p w:rsidR="009374A3" w:rsidRDefault="009374A3" w14:paraId="241E849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60D0" w:rsidRDefault="00EA6A50" w14:paraId="461C8BDB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E4736">
      <w:rPr>
        <w:noProof/>
        <w:color w:val="000000"/>
      </w:rPr>
      <w:t>4</w:t>
    </w:r>
    <w:r>
      <w:rPr>
        <w:color w:val="000000"/>
      </w:rPr>
      <w:fldChar w:fldCharType="end"/>
    </w:r>
  </w:p>
  <w:p w:rsidR="00EA60D0" w:rsidRDefault="00EA60D0" w14:paraId="502E2A3F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60D0" w:rsidRDefault="00EA6A50" w14:paraId="2B92473C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E4736">
      <w:rPr>
        <w:noProof/>
        <w:color w:val="000000"/>
      </w:rPr>
      <w:t>1</w:t>
    </w:r>
    <w:r>
      <w:rPr>
        <w:color w:val="000000"/>
      </w:rPr>
      <w:fldChar w:fldCharType="end"/>
    </w:r>
  </w:p>
  <w:p w:rsidR="00EA60D0" w:rsidRDefault="00EA6A50" w14:paraId="25C397A0" w14:textId="77777777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eastAsia="Arial" w:cs="Arial"/>
        <w:b/>
        <w:i/>
        <w:sz w:val="16"/>
        <w:szCs w:val="16"/>
      </w:rPr>
    </w:pPr>
    <w:r>
      <w:rPr>
        <w:rFonts w:ascii="Arial" w:hAnsi="Arial" w:eastAsia="Arial" w:cs="Arial"/>
        <w:b/>
        <w:i/>
        <w:sz w:val="16"/>
        <w:szCs w:val="16"/>
      </w:rPr>
      <w:t>Secretaría del MERCOSUR</w:t>
    </w:r>
  </w:p>
  <w:p w:rsidR="00EA60D0" w:rsidRDefault="00EA6A50" w14:paraId="5B9C8BE5" w14:textId="77777777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eastAsia="Arial" w:cs="Arial"/>
        <w:b/>
        <w:sz w:val="16"/>
        <w:szCs w:val="16"/>
      </w:rPr>
    </w:pPr>
    <w:r>
      <w:rPr>
        <w:rFonts w:ascii="Arial" w:hAnsi="Arial" w:eastAsia="Arial" w:cs="Arial"/>
        <w:b/>
        <w:sz w:val="16"/>
        <w:szCs w:val="16"/>
      </w:rPr>
      <w:t xml:space="preserve">        Archivo 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4A75" w:rsidRDefault="00264A75" w14:paraId="51B15E73" w14:textId="77777777">
      <w:pPr>
        <w:spacing w:after="0" w:line="240" w:lineRule="auto"/>
      </w:pPr>
      <w:r>
        <w:separator/>
      </w:r>
    </w:p>
  </w:footnote>
  <w:footnote w:type="continuationSeparator" w:id="0">
    <w:p w:rsidR="00264A75" w:rsidRDefault="00264A75" w14:paraId="244654AB" w14:textId="77777777">
      <w:pPr>
        <w:spacing w:after="0" w:line="240" w:lineRule="auto"/>
      </w:pPr>
      <w:r>
        <w:continuationSeparator/>
      </w:r>
    </w:p>
  </w:footnote>
  <w:footnote w:type="continuationNotice" w:id="1">
    <w:p w:rsidR="009374A3" w:rsidRDefault="009374A3" w14:paraId="3E4CDB5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60D0" w:rsidRDefault="00EA6A50" w14:paraId="0714744E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A60D0" w:rsidRDefault="00EA6A50" w14:paraId="22EE512E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PY"/>
      </w:rPr>
      <w:drawing>
        <wp:anchor distT="0" distB="0" distL="114300" distR="114300" simplePos="0" relativeHeight="251658240" behindDoc="0" locked="0" layoutInCell="1" hidden="0" allowOverlap="1" wp14:anchorId="4AFFFF88" wp14:editId="59FACEA9">
          <wp:simplePos x="0" y="0"/>
          <wp:positionH relativeFrom="margin">
            <wp:posOffset>4545330</wp:posOffset>
          </wp:positionH>
          <wp:positionV relativeFrom="margin">
            <wp:posOffset>-696593</wp:posOffset>
          </wp:positionV>
          <wp:extent cx="1186180" cy="74803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180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PY"/>
      </w:rPr>
      <w:drawing>
        <wp:inline distT="0" distB="0" distL="0" distR="0" wp14:anchorId="05D70376" wp14:editId="24AC8615">
          <wp:extent cx="1199515" cy="76009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515" cy="760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</w:t>
    </w:r>
  </w:p>
</w:hdr>
</file>

<file path=word/intelligence2.xml><?xml version="1.0" encoding="utf-8"?>
<int2:intelligence xmlns:int2="http://schemas.microsoft.com/office/intelligence/2020/intelligence">
  <int2:observations>
    <int2:textHash int2:hashCode="CSHFNODOtjwpJe" int2:id="eqmtHzmK">
      <int2:state int2:type="AugLoop_Text_Critique" int2:value="Rejected"/>
    </int2:textHash>
    <int2:textHash int2:hashCode="CZyBPKUaozHDSj" int2:id="Q282tBwV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A26"/>
    <w:multiLevelType w:val="multilevel"/>
    <w:tmpl w:val="7A0478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63829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tru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D0"/>
    <w:rsid w:val="00040F47"/>
    <w:rsid w:val="00046D76"/>
    <w:rsid w:val="000A596A"/>
    <w:rsid w:val="000D5770"/>
    <w:rsid w:val="000F2360"/>
    <w:rsid w:val="00100201"/>
    <w:rsid w:val="00111F55"/>
    <w:rsid w:val="00122674"/>
    <w:rsid w:val="00125A07"/>
    <w:rsid w:val="001515BE"/>
    <w:rsid w:val="00175FD9"/>
    <w:rsid w:val="00181D3E"/>
    <w:rsid w:val="002023F0"/>
    <w:rsid w:val="00264A75"/>
    <w:rsid w:val="00284138"/>
    <w:rsid w:val="00290929"/>
    <w:rsid w:val="002B0820"/>
    <w:rsid w:val="002B5C43"/>
    <w:rsid w:val="002B68E8"/>
    <w:rsid w:val="002F32D2"/>
    <w:rsid w:val="00380A61"/>
    <w:rsid w:val="00382485"/>
    <w:rsid w:val="003D112E"/>
    <w:rsid w:val="003E54C9"/>
    <w:rsid w:val="003F1048"/>
    <w:rsid w:val="00415D4D"/>
    <w:rsid w:val="00427A39"/>
    <w:rsid w:val="00504660"/>
    <w:rsid w:val="005140A2"/>
    <w:rsid w:val="00564A76"/>
    <w:rsid w:val="005949A0"/>
    <w:rsid w:val="005B49BE"/>
    <w:rsid w:val="006564EF"/>
    <w:rsid w:val="006B5FF9"/>
    <w:rsid w:val="006E40A7"/>
    <w:rsid w:val="00717FBD"/>
    <w:rsid w:val="007830A0"/>
    <w:rsid w:val="007A575A"/>
    <w:rsid w:val="008328CE"/>
    <w:rsid w:val="00833C3F"/>
    <w:rsid w:val="00844B4F"/>
    <w:rsid w:val="008542FD"/>
    <w:rsid w:val="008B6F73"/>
    <w:rsid w:val="008C0FD7"/>
    <w:rsid w:val="008C1CA2"/>
    <w:rsid w:val="008C498E"/>
    <w:rsid w:val="009374A3"/>
    <w:rsid w:val="00941B42"/>
    <w:rsid w:val="0099567C"/>
    <w:rsid w:val="00A14A30"/>
    <w:rsid w:val="00A5188A"/>
    <w:rsid w:val="00A57D69"/>
    <w:rsid w:val="00A62698"/>
    <w:rsid w:val="00A8087E"/>
    <w:rsid w:val="00A8516E"/>
    <w:rsid w:val="00A904DC"/>
    <w:rsid w:val="00AA2796"/>
    <w:rsid w:val="00AD29F9"/>
    <w:rsid w:val="00B66CD5"/>
    <w:rsid w:val="00BE5E02"/>
    <w:rsid w:val="00C0718C"/>
    <w:rsid w:val="00C25E8F"/>
    <w:rsid w:val="00C5170B"/>
    <w:rsid w:val="00C64403"/>
    <w:rsid w:val="00C80589"/>
    <w:rsid w:val="00CA548D"/>
    <w:rsid w:val="00CD10AA"/>
    <w:rsid w:val="00CD49E2"/>
    <w:rsid w:val="00CF78C8"/>
    <w:rsid w:val="00D23928"/>
    <w:rsid w:val="00D35AD7"/>
    <w:rsid w:val="00D415FE"/>
    <w:rsid w:val="00D63C20"/>
    <w:rsid w:val="00DA71F4"/>
    <w:rsid w:val="00DB24F3"/>
    <w:rsid w:val="00DD0F28"/>
    <w:rsid w:val="00E25387"/>
    <w:rsid w:val="00EA60D0"/>
    <w:rsid w:val="00EA6A50"/>
    <w:rsid w:val="00EC2692"/>
    <w:rsid w:val="00EE4736"/>
    <w:rsid w:val="00F158D3"/>
    <w:rsid w:val="00F16A89"/>
    <w:rsid w:val="00F179E3"/>
    <w:rsid w:val="00F3112F"/>
    <w:rsid w:val="00F40A9F"/>
    <w:rsid w:val="00F70DAE"/>
    <w:rsid w:val="00F71053"/>
    <w:rsid w:val="00FC1834"/>
    <w:rsid w:val="00FC49DF"/>
    <w:rsid w:val="00FC4B55"/>
    <w:rsid w:val="00FD40EE"/>
    <w:rsid w:val="00FE2B15"/>
    <w:rsid w:val="15E277E4"/>
    <w:rsid w:val="1D01380E"/>
    <w:rsid w:val="274A0DB3"/>
    <w:rsid w:val="37D8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1C61"/>
  <w15:docId w15:val="{46A61174-BDEA-4627-82D9-6737E152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UY" w:eastAsia="es-PY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9"/>
    <w:qFormat/>
    <w:rsid w:val="007F5EA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visin">
    <w:name w:val="Revision"/>
    <w:hidden/>
    <w:uiPriority w:val="99"/>
    <w:semiHidden/>
    <w:rsid w:val="009374A3"/>
    <w:pPr>
      <w:widowControl/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260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F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2A6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A6B"/>
  </w:style>
  <w:style w:type="paragraph" w:styleId="Piedepgina">
    <w:name w:val="footer"/>
    <w:basedOn w:val="Normal"/>
    <w:link w:val="PiedepginaCar"/>
    <w:uiPriority w:val="99"/>
    <w:unhideWhenUsed/>
    <w:rsid w:val="001B2A6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A6B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D4144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3D414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D414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0646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66064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0646"/>
    <w:rPr>
      <w:vertAlign w:val="superscript"/>
    </w:rPr>
  </w:style>
  <w:style w:type="table" w:styleId="Tablaconcuadrcula">
    <w:name w:val="Table Grid"/>
    <w:basedOn w:val="Tablanormal"/>
    <w:uiPriority w:val="59"/>
    <w:rsid w:val="00B507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C37D3A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UY"/>
    </w:rPr>
  </w:style>
  <w:style w:type="character" w:styleId="Ttulo1Car" w:customStyle="1">
    <w:name w:val="Título 1 Car"/>
    <w:basedOn w:val="Fuentedeprrafopredeter"/>
    <w:link w:val="Ttulo1"/>
    <w:uiPriority w:val="9"/>
    <w:rsid w:val="007F5EA0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s-UY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styleId="a2" w:customStyle="1">
    <w:basedOn w:val="Tab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character" w:styleId="Hipervnculo">
    <w:name w:val="Hyperlink"/>
    <w:basedOn w:val="Fuentedeprrafopredeter"/>
    <w:uiPriority w:val="99"/>
    <w:unhideWhenUsed/>
    <w:rsid w:val="003D11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112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D0F28"/>
    <w:rPr>
      <w:color w:val="800080" w:themeColor="followedHyperlink"/>
      <w:u w:val="single"/>
    </w:rPr>
  </w:style>
  <w:style w:type="table" w:styleId="TableNormal1" w:customStyle="1">
    <w:name w:val="Table Normal1"/>
    <w:rsid w:val="009374A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rsid w:val="009374A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microsoft.com/office/2020/10/relationships/intelligence" Target="intelligence2.xml" Id="Rf799ff69bf9c441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D1emTi32IW1HS4nrm7UqiPxGMw==">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</go:docsCustomData>
</go:gDocsCustomXmlDataStorage>
</file>

<file path=customXml/itemProps1.xml><?xml version="1.0" encoding="utf-8"?>
<ds:datastoreItem xmlns:ds="http://schemas.openxmlformats.org/officeDocument/2006/customXml" ds:itemID="{507CA55A-CE17-4445-AEFC-7D0D4701F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María Tornero</dc:creator>
  <lastModifiedBy>Luis Alberto Ojeda Adlán</lastModifiedBy>
  <revision>83</revision>
  <lastPrinted>2022-06-01T16:05:00.0000000Z</lastPrinted>
  <dcterms:created xsi:type="dcterms:W3CDTF">2022-06-01T16:03:00.0000000Z</dcterms:created>
  <dcterms:modified xsi:type="dcterms:W3CDTF">2024-02-08T20:12:06.8992044Z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0x01010003087B7EF5D06C4EAC137BAA348B59AE</vt:lpwstr>
  </property>
</Properties>
</file>