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26102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MERCOSUL/RECAM/ATA Nº 02/</w:t>
      </w:r>
      <w:r>
        <w:rPr>
          <w:b/>
        </w:rPr>
        <w:t>23</w:t>
      </w:r>
    </w:p>
    <w:p w14:paraId="2F457A69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775DF5F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006EF1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b/>
          <w:color w:val="000000"/>
        </w:rPr>
        <w:t>X</w:t>
      </w:r>
      <w:r>
        <w:rPr>
          <w:b/>
        </w:rPr>
        <w:t>L</w:t>
      </w:r>
      <w:r>
        <w:rPr>
          <w:b/>
          <w:color w:val="000000"/>
        </w:rPr>
        <w:t>I REUNIÃO ESPECIALIZADA DE AUTORIDADES CINEMATOGRÁFICAS E AUDIOVISUAIS DO MERCOSUL (RECAM)</w:t>
      </w:r>
    </w:p>
    <w:p w14:paraId="450F2C4F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72239C33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Foi realizada na cidade de </w:t>
      </w:r>
      <w:r>
        <w:t>Florianópolis</w:t>
      </w:r>
      <w:r>
        <w:rPr>
          <w:color w:val="000000"/>
        </w:rPr>
        <w:t xml:space="preserve">, República Federativa do Brasil, nos dias </w:t>
      </w:r>
      <w:r>
        <w:t>22 e 23 de setembro de 2023</w:t>
      </w:r>
      <w:r>
        <w:rPr>
          <w:color w:val="000000"/>
        </w:rPr>
        <w:t xml:space="preserve">, a </w:t>
      </w:r>
      <w:r>
        <w:t>XLI</w:t>
      </w:r>
      <w:r>
        <w:rPr>
          <w:color w:val="000000"/>
        </w:rPr>
        <w:t xml:space="preserve"> Reunião Especializada de Autoridades Cinematográficas e Audiovisuais do MERCOSUL, com a presença das Delegações da Argentina, do Brasil do Paraguai e do Uruguai. </w:t>
      </w:r>
    </w:p>
    <w:p w14:paraId="5B2C57FF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F38BB0F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 Lista de Participantes consta no </w:t>
      </w:r>
      <w:r>
        <w:rPr>
          <w:b/>
          <w:color w:val="000000"/>
        </w:rPr>
        <w:t>Anexo I</w:t>
      </w:r>
      <w:r>
        <w:rPr>
          <w:color w:val="000000"/>
        </w:rPr>
        <w:t>.</w:t>
      </w:r>
    </w:p>
    <w:p w14:paraId="4E6D1E18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B284AEC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Na Reunião foram tratados os seguintes temas:</w:t>
      </w:r>
    </w:p>
    <w:p w14:paraId="63CF0F28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985600E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CC2A97E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1. ABERTURA DA REUNIÃO E CONSIDERAÇÕES GERAIS DOS PARTICIPANTES </w:t>
      </w:r>
    </w:p>
    <w:p w14:paraId="42ED0749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1A3D646C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A</w:t>
      </w:r>
      <w:r>
        <w:rPr>
          <w:color w:val="000000"/>
        </w:rPr>
        <w:t xml:space="preserve"> Secretári</w:t>
      </w:r>
      <w:r>
        <w:t>a</w:t>
      </w:r>
      <w:r>
        <w:rPr>
          <w:color w:val="000000"/>
        </w:rPr>
        <w:t xml:space="preserve"> do Audiovisual, no exercício da Presidência </w:t>
      </w:r>
      <w:r>
        <w:rPr>
          <w:i/>
          <w:color w:val="000000"/>
        </w:rPr>
        <w:t>Pro Tempore,</w:t>
      </w:r>
      <w:r>
        <w:rPr>
          <w:color w:val="000000"/>
        </w:rPr>
        <w:t xml:space="preserve"> iniciou a reunião com palavras de </w:t>
      </w:r>
      <w:r>
        <w:t>boas-vindas</w:t>
      </w:r>
      <w:r>
        <w:rPr>
          <w:color w:val="000000"/>
        </w:rPr>
        <w:t xml:space="preserve"> às delegações presentes, e apresentou proposta de agenda para a reunião.</w:t>
      </w:r>
    </w:p>
    <w:p w14:paraId="40424219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48EEA222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As delegações presentes aprovaram a Agenda que consta como </w:t>
      </w:r>
      <w:r>
        <w:rPr>
          <w:b/>
          <w:color w:val="000000"/>
        </w:rPr>
        <w:t>Anexo II</w:t>
      </w:r>
      <w:r>
        <w:rPr>
          <w:color w:val="000000"/>
        </w:rPr>
        <w:t>.</w:t>
      </w:r>
    </w:p>
    <w:p w14:paraId="05CEBF2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67881BF9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O resumo da Ata consta no </w:t>
      </w:r>
      <w:r>
        <w:rPr>
          <w:b/>
          <w:color w:val="000000"/>
        </w:rPr>
        <w:t>Anexo III</w:t>
      </w:r>
      <w:r>
        <w:rPr>
          <w:color w:val="000000"/>
        </w:rPr>
        <w:t>.</w:t>
      </w:r>
    </w:p>
    <w:p w14:paraId="6BA6135E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D41FD46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79E57A5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2. APRESENTAÇÃO DAS SEÇÕES NACIONAIS</w:t>
      </w:r>
    </w:p>
    <w:p w14:paraId="20954064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8D401F0" w14:textId="61B0770A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delegação do Brasil destacou o trabalho que vem sendo realizado pela atual gestão do Ministério da Cultura, e da Secretaria do Audiovisual, próxima de completar 10 meses.  </w:t>
      </w:r>
      <w:r w:rsidR="00FE53F9">
        <w:t>A</w:t>
      </w:r>
      <w:r>
        <w:t xml:space="preserve">s ações </w:t>
      </w:r>
      <w:r w:rsidR="00FE53F9">
        <w:t xml:space="preserve">foram divididas </w:t>
      </w:r>
      <w:r>
        <w:t>em 05 eixos: Preservação Audiovisual</w:t>
      </w:r>
      <w:r w:rsidR="00FE53F9">
        <w:t>;</w:t>
      </w:r>
      <w:r>
        <w:t xml:space="preserve"> Participação Social e fortalecimento da democracia</w:t>
      </w:r>
      <w:r w:rsidR="00FE53F9">
        <w:t>;</w:t>
      </w:r>
      <w:r>
        <w:t xml:space="preserve"> Fomento </w:t>
      </w:r>
      <w:r w:rsidR="00FE53F9">
        <w:t>à</w:t>
      </w:r>
      <w:r>
        <w:t xml:space="preserve"> Produção</w:t>
      </w:r>
      <w:r w:rsidR="00FE53F9">
        <w:t>;</w:t>
      </w:r>
      <w:r>
        <w:t xml:space="preserve"> </w:t>
      </w:r>
      <w:r w:rsidR="00FE53F9">
        <w:t>Difus</w:t>
      </w:r>
      <w:r>
        <w:t>ão</w:t>
      </w:r>
      <w:r w:rsidR="00FE53F9">
        <w:t>,</w:t>
      </w:r>
      <w:r>
        <w:t xml:space="preserve"> Formação e </w:t>
      </w:r>
      <w:proofErr w:type="gramStart"/>
      <w:r>
        <w:t>Distribuição</w:t>
      </w:r>
      <w:r w:rsidR="00FE53F9">
        <w:t>;</w:t>
      </w:r>
      <w:r>
        <w:t xml:space="preserve">  e</w:t>
      </w:r>
      <w:proofErr w:type="gramEnd"/>
      <w:r>
        <w:t xml:space="preserve"> </w:t>
      </w:r>
      <w:r w:rsidR="00FE53F9">
        <w:t>I</w:t>
      </w:r>
      <w:r>
        <w:t>nternacionalização</w:t>
      </w:r>
      <w:r w:rsidR="00FE53F9">
        <w:t>.</w:t>
      </w:r>
    </w:p>
    <w:p w14:paraId="185B2437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B890527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No âmbito da Presidência Pro tempore do Brasil na RECAM, e levando em consideração o Plano de trabalho da Recam 2023-2024, estão trabalhando com as prioridades 01- Promover a circulação de obras audiovisuais do Mercosul, facilitando o acesso das(os) cidadãs(</w:t>
      </w:r>
      <w:proofErr w:type="spellStart"/>
      <w:r>
        <w:t>ãos</w:t>
      </w:r>
      <w:proofErr w:type="spellEnd"/>
      <w:r>
        <w:t xml:space="preserve">) a conteúdos próprios; 02 - Melhorar as condições de Acessibilidade Audiovisual para pessoa cegas e surdas e/ou ensurdecidas; 03 - Apoiar a criação e a coprodução de </w:t>
      </w:r>
      <w:proofErr w:type="spellStart"/>
      <w:r>
        <w:t>conteúdos</w:t>
      </w:r>
      <w:proofErr w:type="spellEnd"/>
      <w:r>
        <w:t xml:space="preserve"> do Mercosul; 04 - Fortalecer as capacidades de pequenas e médias empresas da indústria audiovisual gerando oportunidades de capacitação, intercâmbios e coproduções; 05 - Promover ações de </w:t>
      </w:r>
      <w:r>
        <w:lastRenderedPageBreak/>
        <w:t>cuidado do Patrimônio Audiovisual do Mercosul, e a visibilidade de trabalho dos acervos e arquivos audiovisuais; 06 - Fortalecer acesso à informações sobre a indústria audiovisual da região, através do portal Recam e suas redes sociais; 07 - Gerar oportunidades de cooperação que fortaleça o espaço audiovisual do Mercosul.</w:t>
      </w:r>
    </w:p>
    <w:p w14:paraId="5297ABB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FA28F54" w14:textId="591389A9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Delegação da Argentina destacou a retomada da Rede de Salas Digitais do Mercosul, com 5 salas de cinema (Córdoba, Misiones, Chubut, Jujuy e Buenos Aires) com programação ativa. Também mencionou os dados sobre as coproduções internacionais realizadas pelo INCAA, sendo que em 2022 do total de 97 projetos, 26 foram do Mercosul e em 2023, dos 53 projetos que obtiveram reconhecimento de coprodução internacional até a data, 23 são do Mercosul. Assim como, em relação aos filmes </w:t>
      </w:r>
      <w:r w:rsidR="00FE53F9">
        <w:t>lançados</w:t>
      </w:r>
      <w:r>
        <w:t xml:space="preserve"> em 2023, de um total de 329 filmes, 165 são nacionais </w:t>
      </w:r>
      <w:r w:rsidR="00FE53F9">
        <w:t>incluindo</w:t>
      </w:r>
      <w:r>
        <w:t xml:space="preserve"> coproduções internacionais </w:t>
      </w:r>
      <w:r>
        <w:rPr>
          <w:b/>
        </w:rPr>
        <w:t>(Anexo IV)</w:t>
      </w:r>
      <w:r>
        <w:t xml:space="preserve">. Como ações destacou a entrega do Prêmio RECAM e Eva </w:t>
      </w:r>
      <w:proofErr w:type="spellStart"/>
      <w:r>
        <w:t>Piwowarski</w:t>
      </w:r>
      <w:proofErr w:type="spellEnd"/>
      <w:r>
        <w:t xml:space="preserve"> no 3º Mercado Audiovisual </w:t>
      </w:r>
      <w:proofErr w:type="spellStart"/>
      <w:r>
        <w:t>Entrefronteras</w:t>
      </w:r>
      <w:proofErr w:type="spellEnd"/>
      <w:r>
        <w:t xml:space="preserve"> (MAEF), a palestra sobre Marco Jurídico de coproduções na região </w:t>
      </w:r>
      <w:r w:rsidR="00B4433C">
        <w:t>no</w:t>
      </w:r>
      <w:r>
        <w:t xml:space="preserve"> MAEF e um</w:t>
      </w:r>
      <w:r>
        <w:rPr>
          <w:rFonts w:ascii="Courier New" w:eastAsia="Courier New" w:hAnsi="Courier New" w:cs="Courier New"/>
        </w:rPr>
        <w:t xml:space="preserve"> </w:t>
      </w:r>
      <w:r>
        <w:t xml:space="preserve">Ciclo de Mesas sobre Acessibilidade Audiovisual organizada pelo Instituto de Artes </w:t>
      </w:r>
      <w:proofErr w:type="spellStart"/>
      <w:r>
        <w:t>Audiovisuales</w:t>
      </w:r>
      <w:proofErr w:type="spellEnd"/>
      <w:r>
        <w:t xml:space="preserve"> de Misiones (</w:t>
      </w:r>
      <w:proofErr w:type="spellStart"/>
      <w:r>
        <w:t>IAAviM</w:t>
      </w:r>
      <w:proofErr w:type="spellEnd"/>
      <w:r>
        <w:t xml:space="preserve">) no marco do </w:t>
      </w:r>
      <w:proofErr w:type="spellStart"/>
      <w:r w:rsidR="00FE53F9">
        <w:t>FICSor</w:t>
      </w:r>
      <w:proofErr w:type="spellEnd"/>
      <w:r w:rsidR="00FE53F9">
        <w:t xml:space="preserve"> (</w:t>
      </w:r>
      <w:r w:rsidR="00B4433C">
        <w:t xml:space="preserve">Festival </w:t>
      </w:r>
      <w:r w:rsidR="00FE53F9">
        <w:t>Internacional</w:t>
      </w:r>
      <w:r w:rsidR="00B4433C">
        <w:t xml:space="preserve"> de Cine </w:t>
      </w:r>
      <w:proofErr w:type="spellStart"/>
      <w:r w:rsidR="00B4433C">
        <w:t>Sordo</w:t>
      </w:r>
      <w:proofErr w:type="spellEnd"/>
      <w:r w:rsidR="00B4433C">
        <w:t xml:space="preserve"> de Argentina</w:t>
      </w:r>
      <w:r w:rsidR="00FE53F9">
        <w:t>)</w:t>
      </w:r>
      <w:r w:rsidR="00B4433C">
        <w:t xml:space="preserve"> </w:t>
      </w:r>
      <w:r>
        <w:t>com apoio da RECAM</w:t>
      </w:r>
      <w:r w:rsidR="001C4307">
        <w:t>.</w:t>
      </w:r>
    </w:p>
    <w:p w14:paraId="3A613DD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5B4ECB" w14:textId="7019AA64" w:rsidR="00F04A38" w:rsidRDefault="00C70936">
      <w:pPr>
        <w:spacing w:after="0"/>
      </w:pPr>
      <w:r>
        <w:t xml:space="preserve">Relatou-se o tratamento de cópias de filmes em nitratos em relação à preservação do patrimônio. Foram destacados o Festival Internacional de Cine de Mar </w:t>
      </w:r>
      <w:proofErr w:type="spellStart"/>
      <w:r>
        <w:t>del</w:t>
      </w:r>
      <w:proofErr w:type="spellEnd"/>
      <w:r>
        <w:t xml:space="preserve"> Plata e o Ventana </w:t>
      </w:r>
      <w:proofErr w:type="spellStart"/>
      <w:r>
        <w:t>Sur</w:t>
      </w:r>
      <w:proofErr w:type="spellEnd"/>
      <w:r>
        <w:t xml:space="preserve">, os dois eventos mais importantes a serem realizados pelo INCAA </w:t>
      </w:r>
      <w:r w:rsidR="00B4433C">
        <w:t>ainda este ano</w:t>
      </w:r>
      <w:r>
        <w:t>.</w:t>
      </w:r>
    </w:p>
    <w:p w14:paraId="20EA8D20" w14:textId="77777777" w:rsidR="00F04A38" w:rsidRDefault="00F04A38">
      <w:pPr>
        <w:spacing w:after="0"/>
      </w:pPr>
    </w:p>
    <w:p w14:paraId="6134D41F" w14:textId="11E5A53C" w:rsidR="00F04A38" w:rsidRDefault="00000000">
      <w:pPr>
        <w:spacing w:after="0"/>
      </w:pPr>
      <w:r>
        <w:t xml:space="preserve">A </w:t>
      </w:r>
      <w:r w:rsidR="00B4433C">
        <w:t>D</w:t>
      </w:r>
      <w:r>
        <w:t xml:space="preserve">elegação argentina destacou a importância da proposta de um </w:t>
      </w:r>
      <w:r w:rsidR="00C14127">
        <w:t>a</w:t>
      </w:r>
      <w:r>
        <w:t xml:space="preserve">cordo internacional de </w:t>
      </w:r>
      <w:r w:rsidR="00C14127">
        <w:t>c</w:t>
      </w:r>
      <w:r>
        <w:t xml:space="preserve">oprodução como marco legal para a região </w:t>
      </w:r>
      <w:proofErr w:type="gramStart"/>
      <w:r>
        <w:t>e também</w:t>
      </w:r>
      <w:proofErr w:type="gramEnd"/>
      <w:r>
        <w:t xml:space="preserve"> mencionou a entrada em vigor do Acordo de Reconhecimento Mútuo de Certificados de Assinatura Digital do MERCOSUL.</w:t>
      </w:r>
    </w:p>
    <w:p w14:paraId="42BA9EC0" w14:textId="77777777" w:rsidR="00F04A38" w:rsidRDefault="00F04A38">
      <w:pPr>
        <w:spacing w:after="0"/>
      </w:pPr>
    </w:p>
    <w:p w14:paraId="0C68FE66" w14:textId="17E4DDBD" w:rsidR="00F04A38" w:rsidRDefault="00000000">
      <w:pPr>
        <w:spacing w:after="0"/>
      </w:pPr>
      <w:r>
        <w:t xml:space="preserve">A </w:t>
      </w:r>
      <w:r w:rsidR="00B4433C">
        <w:t>Delega</w:t>
      </w:r>
      <w:r>
        <w:t>ção do Paraguai abriu sua intervenção comemorando os 20 anos da RECAM, acrescentando que a criação desse órgão do MERCOSUL foi fundamental no processo de institucionalização do cinema e do audiovisual no Paraguai, uma vez que sua implementação levou à criação da Diretoria de Audiovisual da Secretaria Nacional de Cultura, Isso significou que, pela primeira vez, o Paraguai teve um ponto focal no campo e, a partir dessa mesma diretoria, foi promovida a promulgação da Lei 6106/2018, criando o INAP, seu decreto regulamentar 2600/2019 e a nomeação do Diretor Executivo, com o qual o instituto adquiriu status legal e deu início ao Conselho Nacional do Audiovisua</w:t>
      </w:r>
      <w:r w:rsidR="00785138">
        <w:t xml:space="preserve">l </w:t>
      </w:r>
      <w:r w:rsidR="00785138" w:rsidRPr="00785138">
        <w:rPr>
          <w:b/>
          <w:bCs/>
        </w:rPr>
        <w:t>(Anexo V)</w:t>
      </w:r>
      <w:r>
        <w:t>.</w:t>
      </w:r>
      <w:r w:rsidR="00785138">
        <w:t xml:space="preserve"> </w:t>
      </w:r>
      <w:r>
        <w:t xml:space="preserve"> </w:t>
      </w:r>
    </w:p>
    <w:p w14:paraId="32F44FF2" w14:textId="77777777" w:rsidR="00F04A38" w:rsidRDefault="00F04A38">
      <w:pPr>
        <w:spacing w:after="0"/>
      </w:pPr>
    </w:p>
    <w:p w14:paraId="61ABB5ED" w14:textId="1A23BA25" w:rsidR="00F04A38" w:rsidRDefault="00000000">
      <w:pPr>
        <w:spacing w:after="0"/>
      </w:pPr>
      <w:r>
        <w:t xml:space="preserve">Em seguida, falou sobre a recente realização, em Assunção, da terceira edição do Mercado Audiovisual </w:t>
      </w:r>
      <w:proofErr w:type="spellStart"/>
      <w:r>
        <w:t>EntreFronteras</w:t>
      </w:r>
      <w:proofErr w:type="spellEnd"/>
      <w:r>
        <w:t xml:space="preserve">, no âmbito do Crea + PY, mercado de indústrias criativas do Paraguai, no qual participaram 22 projetos em fase de desenvolvimento dos quatro países do MERCOSUL, participando de rodadas de </w:t>
      </w:r>
      <w:proofErr w:type="spellStart"/>
      <w:r>
        <w:t>pitch</w:t>
      </w:r>
      <w:proofErr w:type="spellEnd"/>
      <w:r>
        <w:t xml:space="preserve">, mesas de networking, rodadas de negócios, palestras, master classes, debates e optando por </w:t>
      </w:r>
      <w:r>
        <w:lastRenderedPageBreak/>
        <w:t xml:space="preserve">três prêmios: Eva </w:t>
      </w:r>
      <w:proofErr w:type="spellStart"/>
      <w:r>
        <w:t>Piwowarski</w:t>
      </w:r>
      <w:proofErr w:type="spellEnd"/>
      <w:r>
        <w:t xml:space="preserve">, RECAM 20 anos e </w:t>
      </w:r>
      <w:proofErr w:type="spellStart"/>
      <w:r>
        <w:t>Puctum</w:t>
      </w:r>
      <w:proofErr w:type="spellEnd"/>
      <w:r>
        <w:t xml:space="preserve"> Sales. Outro destaque do mercado foi a assinatura de um </w:t>
      </w:r>
      <w:proofErr w:type="spellStart"/>
      <w:r>
        <w:t>memorandum</w:t>
      </w:r>
      <w:proofErr w:type="spellEnd"/>
      <w:r>
        <w:t xml:space="preserve"> de </w:t>
      </w:r>
      <w:proofErr w:type="gramStart"/>
      <w:r w:rsidR="00C57D73">
        <w:t>entendimento</w:t>
      </w:r>
      <w:r>
        <w:t xml:space="preserve">  entre</w:t>
      </w:r>
      <w:proofErr w:type="gramEnd"/>
      <w:r>
        <w:t xml:space="preserve"> a ACAU e o INAP. </w:t>
      </w:r>
    </w:p>
    <w:p w14:paraId="136F3C16" w14:textId="77777777" w:rsidR="00F04A38" w:rsidRDefault="00F04A38">
      <w:pPr>
        <w:spacing w:after="0"/>
      </w:pPr>
    </w:p>
    <w:p w14:paraId="2D60DC8E" w14:textId="25AAC812" w:rsidR="00F04A38" w:rsidRDefault="00000000">
      <w:pPr>
        <w:spacing w:after="0"/>
      </w:pPr>
      <w:r>
        <w:t xml:space="preserve">Com relação às ações de fomento, comentou que </w:t>
      </w:r>
      <w:r w:rsidR="00C57D73">
        <w:t>foi</w:t>
      </w:r>
      <w:r>
        <w:t xml:space="preserve"> concluído um concurso voltado   exclusivamente para desenvolvimento de projetos, cujo edital indicava que pelo menos um prêmio deveria ser para projeto de </w:t>
      </w:r>
      <w:proofErr w:type="spellStart"/>
      <w:r>
        <w:t>codesenvolvimento</w:t>
      </w:r>
      <w:proofErr w:type="spellEnd"/>
      <w:r>
        <w:t xml:space="preserve"> internacional. Mencionou também que estava sendo encerrado o segundo concurso para os fundos competitivos do INAP, na qual, pela primeira vez, havia sido incorporada uma linha para projetos de coprodução minoritária.</w:t>
      </w:r>
    </w:p>
    <w:p w14:paraId="77F9EEC7" w14:textId="77777777" w:rsidR="00F04A38" w:rsidRDefault="00F04A38">
      <w:pPr>
        <w:spacing w:after="0"/>
      </w:pPr>
    </w:p>
    <w:p w14:paraId="4A4A352A" w14:textId="303DCF2C" w:rsidR="00F04A38" w:rsidRDefault="00000000">
      <w:pPr>
        <w:spacing w:after="0"/>
      </w:pPr>
      <w:r>
        <w:t xml:space="preserve">Com relação à Rede de Salas Digitais, informou que estão próximos de formalizar acordos com pelo menos seis centros culturais para incorporá-los como salas da RECAM. Finalmente, mencionou que outro desafio para o INAP é um projeto de lei para a reorganização do Estado paraguaio, que propõe a criação, modificação e fusão de órgãos públicos para otimizar processos e recursos. Esse projeto de lei sugere a análise </w:t>
      </w:r>
      <w:proofErr w:type="gramStart"/>
      <w:r>
        <w:t>da potencial</w:t>
      </w:r>
      <w:proofErr w:type="gramEnd"/>
      <w:r>
        <w:t xml:space="preserve"> fusão entre a Secretaria Nacional de Cultura, o Fundo Nacional para a Cultura e as Artes, a Secretaria de Política Linguística e o INAP. Comentou que esse projeto de lei contempla uma etapa em que as instituições poderão propor e argumentar o nível de governança que pretendem administrar e que, por esse motivo, foi realizada uma reunião aberta com todo o setor audiovisual. A posição unânime </w:t>
      </w:r>
      <w:r w:rsidR="00C57D73">
        <w:t>deliberada</w:t>
      </w:r>
      <w:r>
        <w:t xml:space="preserve"> </w:t>
      </w:r>
      <w:r w:rsidR="00C57D73">
        <w:t>n</w:t>
      </w:r>
      <w:r>
        <w:t>essa reunião foi a de manter a situação atual de entidade autônoma e autárquica do INAP.</w:t>
      </w:r>
    </w:p>
    <w:p w14:paraId="1BE66341" w14:textId="77777777" w:rsidR="00F04A38" w:rsidRDefault="00F04A38">
      <w:pPr>
        <w:spacing w:after="0"/>
      </w:pPr>
    </w:p>
    <w:p w14:paraId="707A63AA" w14:textId="5D6C8874" w:rsidR="00F04A38" w:rsidRDefault="00000000">
      <w:pPr>
        <w:spacing w:after="0"/>
      </w:pPr>
      <w:r>
        <w:t xml:space="preserve">A </w:t>
      </w:r>
      <w:r w:rsidR="00C14127">
        <w:t>D</w:t>
      </w:r>
      <w:r>
        <w:t xml:space="preserve">elegação do Uruguai destacou o desenvolvimento institucional da agência. Entre as ações mencionadas está o lançamento do programa de fomento Programa Uruguai Audiovisual 2023. Ressaltou também a importância dos dados para o desenvolvimento de políticas públicas, refletido na criação do Observatório do Audiovisual do Uruguai com a publicação do primeiro relatório </w:t>
      </w:r>
      <w:r>
        <w:rPr>
          <w:b/>
        </w:rPr>
        <w:t>(Anexo V</w:t>
      </w:r>
      <w:r w:rsidR="00785138">
        <w:rPr>
          <w:b/>
        </w:rPr>
        <w:t>I</w:t>
      </w:r>
      <w:r>
        <w:rPr>
          <w:b/>
        </w:rPr>
        <w:t>)</w:t>
      </w:r>
      <w:r>
        <w:t>. Destacou a importância de focar no desenvolvimento, distribuição, circulação e acervos. Reforçou também a importância de introduzir práticas sustentáveis nas produções audiovisuais</w:t>
      </w:r>
      <w:r w:rsidR="00C14127">
        <w:t>.</w:t>
      </w:r>
    </w:p>
    <w:p w14:paraId="224E73A9" w14:textId="77777777" w:rsidR="00F04A38" w:rsidRDefault="00F04A38">
      <w:pPr>
        <w:spacing w:after="0"/>
      </w:pPr>
    </w:p>
    <w:p w14:paraId="36B7DA76" w14:textId="77777777" w:rsidR="00F04A38" w:rsidRDefault="00000000">
      <w:pPr>
        <w:spacing w:after="0"/>
        <w:rPr>
          <w:color w:val="000000"/>
        </w:rPr>
      </w:pPr>
      <w:r>
        <w:rPr>
          <w:b/>
          <w:color w:val="000000"/>
        </w:rPr>
        <w:t xml:space="preserve">3. PROGRAMA DE TRABALHO </w:t>
      </w:r>
      <w:r>
        <w:rPr>
          <w:b/>
        </w:rPr>
        <w:t>2023-2024</w:t>
      </w:r>
    </w:p>
    <w:p w14:paraId="46449FF5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1B95198" w14:textId="0F242C35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color w:val="000000"/>
        </w:rPr>
        <w:t>Foram</w:t>
      </w:r>
      <w:r>
        <w:t xml:space="preserve"> revisadas as atividades do Programa de Trabalho 2023-2024 aprovado pelo GMC e concordam por consenso elevar o grau de cumprimento </w:t>
      </w:r>
      <w:r>
        <w:rPr>
          <w:b/>
        </w:rPr>
        <w:t>(Anexo VI</w:t>
      </w:r>
      <w:r w:rsidR="00785138">
        <w:rPr>
          <w:b/>
        </w:rPr>
        <w:t>I</w:t>
      </w:r>
      <w:r>
        <w:rPr>
          <w:b/>
        </w:rPr>
        <w:t>).</w:t>
      </w:r>
    </w:p>
    <w:p w14:paraId="4D7C1B05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D2570C0" w14:textId="3D97A94C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As autoridades decidiram incorporar como novos temas na agenda regional a sustentabilidade</w:t>
      </w:r>
      <w:r w:rsidR="00C70936">
        <w:t>. C</w:t>
      </w:r>
      <w:r>
        <w:t xml:space="preserve">omo primeira ação foi proposta a promoção de uma oficina de capacitação e assessoria para projetos sobre filmagem sustentável. Além disso, com iniciativa da PPTB foi proposto a realização de um Seminário </w:t>
      </w:r>
      <w:r w:rsidR="00C70936">
        <w:t>sobre a regulação do vídeo sob demanda</w:t>
      </w:r>
      <w:r>
        <w:t xml:space="preserve"> em articulação com o </w:t>
      </w:r>
      <w:proofErr w:type="spellStart"/>
      <w:r>
        <w:t>Parlasur</w:t>
      </w:r>
      <w:proofErr w:type="spellEnd"/>
      <w:r>
        <w:t xml:space="preserve">, proposta consensuada que também é incorporada no plano de trabalho vigente </w:t>
      </w:r>
      <w:r>
        <w:rPr>
          <w:b/>
        </w:rPr>
        <w:t>(Anexo VII</w:t>
      </w:r>
      <w:r w:rsidR="00785138">
        <w:rPr>
          <w:b/>
        </w:rPr>
        <w:t>I</w:t>
      </w:r>
      <w:r>
        <w:rPr>
          <w:b/>
        </w:rPr>
        <w:t>)</w:t>
      </w:r>
      <w:r>
        <w:t>.</w:t>
      </w:r>
    </w:p>
    <w:p w14:paraId="106338BD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ab/>
      </w:r>
    </w:p>
    <w:p w14:paraId="49846CF9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4. RECAM 20 anos</w:t>
      </w:r>
    </w:p>
    <w:p w14:paraId="78555CC7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DD533B4" w14:textId="72FB1589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delegação do Brasil compartilhou as ações que estão sendo realizadas no âmbito das celebrações do 20 aniversário da RECAM tais como a intervenção da logomarca, em versão </w:t>
      </w:r>
      <w:r w:rsidR="002411F2">
        <w:t>trilíngue</w:t>
      </w:r>
      <w:r>
        <w:t xml:space="preserve"> (</w:t>
      </w:r>
      <w:r>
        <w:rPr>
          <w:b/>
        </w:rPr>
        <w:t xml:space="preserve">Anexo </w:t>
      </w:r>
      <w:r w:rsidR="00785138">
        <w:rPr>
          <w:b/>
        </w:rPr>
        <w:t>IX</w:t>
      </w:r>
      <w:r>
        <w:t>).</w:t>
      </w:r>
    </w:p>
    <w:p w14:paraId="772D728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58EB14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Nesse sentido, foram propostas outras iniciativas como uma publicação com os destaques da RECAM neste período, Premiações, Mesas e atividades de visibilidade.</w:t>
      </w:r>
    </w:p>
    <w:p w14:paraId="6E33D8B7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60DE236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5. CIRCULAÇÃO</w:t>
      </w:r>
    </w:p>
    <w:p w14:paraId="6DAC03A9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 </w:t>
      </w:r>
    </w:p>
    <w:p w14:paraId="7B15669F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>5.1 Plataforma Mercosul Audiovisual</w:t>
      </w:r>
    </w:p>
    <w:p w14:paraId="7F0EE84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9F1079C" w14:textId="5F17FA54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Foram apresentados os resultados da Plataforma, com os ciclos e as parcerias alcançadas </w:t>
      </w:r>
      <w:r>
        <w:rPr>
          <w:b/>
        </w:rPr>
        <w:t>(Anexo X)</w:t>
      </w:r>
      <w:r w:rsidRPr="00C70936">
        <w:rPr>
          <w:bCs/>
        </w:rPr>
        <w:t>.</w:t>
      </w:r>
      <w:r>
        <w:t xml:space="preserve"> Nesse sentido, foi proposta uma nova edição do edital Curtas Mais Acessibilidade, proposta que foi aprovada.</w:t>
      </w:r>
    </w:p>
    <w:p w14:paraId="2EBDF192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7E9384B" w14:textId="067B4D86" w:rsidR="00F04A38" w:rsidRDefault="00000000">
      <w:pPr>
        <w:spacing w:after="0"/>
      </w:pPr>
      <w:r>
        <w:t xml:space="preserve">A PPTB informou que na data do Dia das Crianças, </w:t>
      </w:r>
      <w:r w:rsidR="00C70936">
        <w:t xml:space="preserve">12 de outubro, </w:t>
      </w:r>
      <w:r>
        <w:t>será produzida uma divulgação especial da plataforma.</w:t>
      </w:r>
    </w:p>
    <w:p w14:paraId="59216F4F" w14:textId="77777777" w:rsidR="00F04A38" w:rsidRDefault="00F04A38">
      <w:pPr>
        <w:spacing w:after="0"/>
      </w:pPr>
    </w:p>
    <w:p w14:paraId="72B81046" w14:textId="5931DA0A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As autoridades </w:t>
      </w:r>
      <w:r w:rsidR="00C70936">
        <w:t>reforçaram a importância</w:t>
      </w:r>
      <w:r>
        <w:t xml:space="preserve"> </w:t>
      </w:r>
      <w:r w:rsidR="00C70936">
        <w:t>d</w:t>
      </w:r>
      <w:r>
        <w:t xml:space="preserve">esta janela de obras premiadas pela Recam, que contribui para a circulação e a sensibilização </w:t>
      </w:r>
      <w:r w:rsidR="00C70936">
        <w:t>par</w:t>
      </w:r>
      <w:r>
        <w:t>a acessibilidade. Propuseram explorar vias de colaboração para ter mais conteúdos e mais recursos de acessibilidade.</w:t>
      </w:r>
    </w:p>
    <w:p w14:paraId="1A5540D2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3A487A3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O representante da OEI informou sobre as possibilidades de cooperação e articulação com outros órgãos internacionais e propôs um trabalho conjunto.</w:t>
      </w:r>
    </w:p>
    <w:p w14:paraId="69F45FC3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F0ABD17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>5.2 Rede de Salas Digitais (RSD)</w:t>
      </w:r>
    </w:p>
    <w:p w14:paraId="3A0501DC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6D251AFA" w14:textId="7A7B635C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delegação da Argentina apresentou o Relatório das salas argentinas que atualmente integram a </w:t>
      </w:r>
      <w:r w:rsidR="00FE53F9">
        <w:t>rede e</w:t>
      </w:r>
      <w:r>
        <w:t xml:space="preserve"> as novas salas que pediram adesão, destacando a valorização destas para as obras do Mercosul, que são bem recebidas pelo público das salas</w:t>
      </w:r>
      <w:r w:rsidR="00FE53F9">
        <w:t xml:space="preserve"> </w:t>
      </w:r>
      <w:r w:rsidR="00FE53F9">
        <w:rPr>
          <w:b/>
        </w:rPr>
        <w:t>(Anexo XI)</w:t>
      </w:r>
      <w:r>
        <w:t>.</w:t>
      </w:r>
    </w:p>
    <w:p w14:paraId="4388E2A7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56C07FE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A delegação do Brasil informou que está sendo estudado um edital para adesão de salas e explorando vias de incorporação de obras brasileiras no catálogo em breve.</w:t>
      </w:r>
    </w:p>
    <w:p w14:paraId="4C7B879F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A0EAB6A" w14:textId="6ECE3CCE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delegação do Paraguai informou as salas que já manifestaram interesse para a incorporação à programação Mercosul e continuam com a política de </w:t>
      </w:r>
      <w:r w:rsidR="0044592E">
        <w:t>aquisição anual</w:t>
      </w:r>
      <w:r>
        <w:t xml:space="preserve"> de títulos paraguaios para a Rede e circuitos governamentais.</w:t>
      </w:r>
    </w:p>
    <w:p w14:paraId="5FD2D460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62A630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Os países reconhecem a importância de redobrar esforços para a retomada da conformação da rede.</w:t>
      </w:r>
    </w:p>
    <w:p w14:paraId="132602E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44AE97B" w14:textId="765F77C3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 xml:space="preserve">5.3 </w:t>
      </w:r>
      <w:r w:rsidR="00C14127">
        <w:rPr>
          <w:b/>
        </w:rPr>
        <w:t>Prêmios</w:t>
      </w:r>
      <w:r>
        <w:rPr>
          <w:b/>
        </w:rPr>
        <w:t xml:space="preserve"> e Festivais no Mercosul</w:t>
      </w:r>
    </w:p>
    <w:p w14:paraId="38EBF40B" w14:textId="77777777" w:rsidR="00F04A38" w:rsidRDefault="00F04A38">
      <w:pPr>
        <w:spacing w:after="0"/>
      </w:pPr>
    </w:p>
    <w:p w14:paraId="4EFE1419" w14:textId="1EFB5C1C" w:rsidR="00F04A38" w:rsidRDefault="00000000">
      <w:pPr>
        <w:spacing w:after="0"/>
      </w:pPr>
      <w:r>
        <w:t xml:space="preserve">A Secretaria Técnica informou sobre os prêmios entregues durante o ano de 2023, sendo que a próxima edição do Prêmio acontecerá no Festival Internacional de Cine de Mar </w:t>
      </w:r>
      <w:proofErr w:type="spellStart"/>
      <w:r>
        <w:t>del</w:t>
      </w:r>
      <w:proofErr w:type="spellEnd"/>
      <w:r>
        <w:t xml:space="preserve"> Plata, produzido pelo INCAA </w:t>
      </w:r>
      <w:r>
        <w:rPr>
          <w:b/>
        </w:rPr>
        <w:t>(Anexo X</w:t>
      </w:r>
      <w:r w:rsidR="00785138">
        <w:rPr>
          <w:b/>
        </w:rPr>
        <w:t>I</w:t>
      </w:r>
      <w:r>
        <w:rPr>
          <w:b/>
        </w:rPr>
        <w:t>I)</w:t>
      </w:r>
      <w:r>
        <w:t>.</w:t>
      </w:r>
    </w:p>
    <w:p w14:paraId="0455F594" w14:textId="77777777" w:rsidR="00F04A38" w:rsidRDefault="00F04A38">
      <w:pPr>
        <w:spacing w:after="0"/>
      </w:pPr>
    </w:p>
    <w:p w14:paraId="70BAD0DB" w14:textId="2C096595" w:rsidR="00F04A38" w:rsidRDefault="00000000">
      <w:pPr>
        <w:spacing w:after="0"/>
      </w:pPr>
      <w:r>
        <w:t xml:space="preserve">Além disso, foi destacado o Prêmio RECAM no FAM, pela particularidade de ser um festival do Mercosul, que cumpre 27 anos e onde a RECAM foi pensada e criada. Os países agradeceram ao FAM pelo empenho na integração, refletindo-se na maturidade do Festival. O FAM também incluiu na programação uma sessão especial de curtas da RECAM </w:t>
      </w:r>
      <w:r>
        <w:rPr>
          <w:b/>
        </w:rPr>
        <w:t>(Anexo XII</w:t>
      </w:r>
      <w:r w:rsidR="00785138">
        <w:rPr>
          <w:b/>
        </w:rPr>
        <w:t>I</w:t>
      </w:r>
      <w:r>
        <w:rPr>
          <w:b/>
        </w:rPr>
        <w:t>)</w:t>
      </w:r>
      <w:r>
        <w:t>.</w:t>
      </w:r>
    </w:p>
    <w:p w14:paraId="49EB5433" w14:textId="77777777" w:rsidR="00F04A38" w:rsidRDefault="00F04A38">
      <w:pPr>
        <w:spacing w:after="0"/>
      </w:pPr>
    </w:p>
    <w:p w14:paraId="6409FF11" w14:textId="77777777" w:rsidR="00F04A38" w:rsidRDefault="00000000">
      <w:pPr>
        <w:spacing w:after="0"/>
      </w:pPr>
      <w:r>
        <w:t>Os países concordaram na continuidade e incorporação de dois prêmios que favorecem a circulação e a visibilidade da RECAM.</w:t>
      </w:r>
    </w:p>
    <w:p w14:paraId="6E8B2782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6B779B7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6694EE96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6. COPRODUÇÕES NO MERCOSUL</w:t>
      </w:r>
    </w:p>
    <w:p w14:paraId="7A91EB26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4AF6F7E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>6.1 Acordo de Coproduções no MERCOSUL</w:t>
      </w:r>
    </w:p>
    <w:p w14:paraId="7F9156B8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5B8D013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O Comité Jurídico apresentou os resultados do trabalho desenvolvido durante o ano de 2023 para apresentar um projeto de Acordo de Coprodução no Mercosul.</w:t>
      </w:r>
    </w:p>
    <w:p w14:paraId="1E132CD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0ACEA75" w14:textId="7B42D9DA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As Autoridades parabenizaram a </w:t>
      </w:r>
      <w:r>
        <w:rPr>
          <w:i/>
        </w:rPr>
        <w:t>expertise</w:t>
      </w:r>
      <w:r>
        <w:t xml:space="preserve"> dos integrantes do Comitê, destacando a relevância deste acordo na história da RECAM, coincidindo com a celebração dos 20 anos da criação, promovendo um marco jurídico moderno para a promoção de obras no âmbito do Mercosul. Consideraram o acordo conveniente, oportuno, mais ágil e com mais oportunidades de financiamento. O texto será levado para análise do GMC </w:t>
      </w:r>
      <w:r>
        <w:rPr>
          <w:b/>
        </w:rPr>
        <w:t>(Anexo XI</w:t>
      </w:r>
      <w:r w:rsidR="00785138">
        <w:rPr>
          <w:b/>
        </w:rPr>
        <w:t>V</w:t>
      </w:r>
      <w:r>
        <w:rPr>
          <w:b/>
        </w:rPr>
        <w:t>)</w:t>
      </w:r>
      <w:r>
        <w:t>.</w:t>
      </w:r>
    </w:p>
    <w:p w14:paraId="64AB71FA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0407E1B" w14:textId="18B5BD96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>6.2 Fundo de desenvolvimento de curtas</w:t>
      </w:r>
      <w:r w:rsidR="00C57D73">
        <w:rPr>
          <w:b/>
        </w:rPr>
        <w:t>-metragens</w:t>
      </w:r>
      <w:r>
        <w:rPr>
          <w:b/>
        </w:rPr>
        <w:t xml:space="preserve"> em coprodução</w:t>
      </w:r>
    </w:p>
    <w:p w14:paraId="6532961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</w:p>
    <w:p w14:paraId="60B3F639" w14:textId="50941526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O Comitê Jurídico também elaborou bases para premiar </w:t>
      </w:r>
      <w:r w:rsidR="00C57D73">
        <w:t xml:space="preserve">projetos de </w:t>
      </w:r>
      <w:r>
        <w:t>curtas</w:t>
      </w:r>
      <w:r w:rsidR="00C57D73">
        <w:t>-metragens</w:t>
      </w:r>
      <w:r>
        <w:t xml:space="preserve"> </w:t>
      </w:r>
      <w:r w:rsidR="00C57D73">
        <w:t xml:space="preserve">em desenvolvimento </w:t>
      </w:r>
      <w:r>
        <w:t>em coprodução, com aporte dos quatro países. A delegação do Uruguai propôs que um dos prêmios seja para projetos inéditos de difusão de obras no Mercosul. As propostas foram aprovadas (</w:t>
      </w:r>
      <w:r>
        <w:rPr>
          <w:b/>
        </w:rPr>
        <w:t>Anexo XV</w:t>
      </w:r>
      <w:r>
        <w:t>)</w:t>
      </w:r>
    </w:p>
    <w:p w14:paraId="72F9BFB2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23C0B71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7. ACESSIBILIDADE</w:t>
      </w:r>
    </w:p>
    <w:p w14:paraId="048FF0F4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211B80B5" w14:textId="25329A7D" w:rsidR="00F04A38" w:rsidRDefault="00000000">
      <w:pPr>
        <w:spacing w:after="0"/>
        <w:rPr>
          <w:b/>
        </w:rPr>
      </w:pPr>
      <w:r>
        <w:t xml:space="preserve">A Secretaria Técnica apresentou as ações da RECAM em matéria de acessibilidade </w:t>
      </w:r>
      <w:r>
        <w:rPr>
          <w:b/>
        </w:rPr>
        <w:t>(Anexo XV</w:t>
      </w:r>
      <w:r w:rsidR="00785138">
        <w:rPr>
          <w:b/>
        </w:rPr>
        <w:t>I</w:t>
      </w:r>
      <w:r>
        <w:rPr>
          <w:b/>
        </w:rPr>
        <w:t xml:space="preserve">). </w:t>
      </w:r>
      <w:r>
        <w:t xml:space="preserve">Em relação às ações deste ano, foi destacada a realização do Encontro </w:t>
      </w:r>
      <w:r>
        <w:lastRenderedPageBreak/>
        <w:t xml:space="preserve">entre ganhadores do Concurso de Boas Práticas da Sociedade Civil do Mercosul. Nesse sentido, foi aprovada a edição VI do Concurso, que resultou em uma ferramenta útil para conhecer valiosas experiências </w:t>
      </w:r>
      <w:r>
        <w:rPr>
          <w:b/>
        </w:rPr>
        <w:t>(Anexo XV</w:t>
      </w:r>
      <w:r w:rsidR="00785138">
        <w:rPr>
          <w:b/>
        </w:rPr>
        <w:t>I</w:t>
      </w:r>
      <w:r>
        <w:rPr>
          <w:b/>
        </w:rPr>
        <w:t>I)</w:t>
      </w:r>
      <w:r>
        <w:t>.</w:t>
      </w:r>
    </w:p>
    <w:p w14:paraId="37255ED8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2FB45C1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8. PATRIMÔNIO AUDIOVISUAL</w:t>
      </w:r>
    </w:p>
    <w:p w14:paraId="353C9240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6FC3832E" w14:textId="0EA539C8" w:rsidR="00F04A38" w:rsidRDefault="00000000">
      <w:pPr>
        <w:spacing w:after="0"/>
      </w:pPr>
      <w:r>
        <w:t xml:space="preserve">Foram apresentados os resultados do encontro entre especialistas em </w:t>
      </w:r>
      <w:proofErr w:type="gramStart"/>
      <w:r>
        <w:t>Patrimônio  Audiovisual</w:t>
      </w:r>
      <w:proofErr w:type="gramEnd"/>
      <w:r>
        <w:t xml:space="preserve"> do MERCOSUL, que se reuniram p</w:t>
      </w:r>
      <w:r w:rsidR="00C70936">
        <w:t>or convite d</w:t>
      </w:r>
      <w:r>
        <w:t xml:space="preserve">a PPT Brasil com o objetivo de promover o intercâmbio de experiências e propor uma discussão interinstitucional com uma agenda de ações conjuntas </w:t>
      </w:r>
      <w:r>
        <w:rPr>
          <w:b/>
        </w:rPr>
        <w:t>(Anexo XVI</w:t>
      </w:r>
      <w:r w:rsidR="00785138">
        <w:rPr>
          <w:b/>
        </w:rPr>
        <w:t>I</w:t>
      </w:r>
      <w:r>
        <w:rPr>
          <w:b/>
        </w:rPr>
        <w:t>I)</w:t>
      </w:r>
      <w:r>
        <w:t>.</w:t>
      </w:r>
    </w:p>
    <w:p w14:paraId="3A8C6510" w14:textId="77777777" w:rsidR="00F04A38" w:rsidRDefault="00F04A38">
      <w:pPr>
        <w:spacing w:after="0"/>
      </w:pPr>
    </w:p>
    <w:p w14:paraId="370DD946" w14:textId="77777777" w:rsidR="00F04A38" w:rsidRDefault="00000000">
      <w:pPr>
        <w:spacing w:after="0"/>
      </w:pPr>
      <w:r>
        <w:t>Entre as propostas foi aprovada a produção de um vídeo trilíngue para divulgar em redes sociais, salas e televisão, em comemoração ao Dia do Patrimônio Audiovisual, e o lançamento de um edital para ensaios sobre a memória audiovisual do Mercosul.</w:t>
      </w:r>
    </w:p>
    <w:p w14:paraId="295530B1" w14:textId="77777777" w:rsidR="00F04A38" w:rsidRDefault="00F04A38">
      <w:pPr>
        <w:spacing w:after="0"/>
      </w:pPr>
    </w:p>
    <w:p w14:paraId="7618A799" w14:textId="6118278A" w:rsidR="00F04A38" w:rsidRPr="00785138" w:rsidRDefault="00000000">
      <w:pPr>
        <w:spacing w:after="0"/>
      </w:pPr>
      <w:r>
        <w:t>Além disso, foi proposta uma premiação de obras elaboradas como materiais audiovisuais e uma tutoria sobre aspectos técnicos e legais para utilização de arquivos.</w:t>
      </w:r>
    </w:p>
    <w:p w14:paraId="2AE27CEA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DDED8E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</w:rPr>
        <w:t>9</w:t>
      </w:r>
      <w:r>
        <w:rPr>
          <w:b/>
          <w:color w:val="000000"/>
        </w:rPr>
        <w:t>. RELATÓRIO DA SECRETARIA TÉCNICA (ST)</w:t>
      </w:r>
    </w:p>
    <w:p w14:paraId="7932E83B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1041DFD" w14:textId="47825F70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Secretaria Técnica da RECAM apresentou um relatório da administração e prestação de contas realizada p</w:t>
      </w:r>
      <w:r>
        <w:t>elo escritório da</w:t>
      </w:r>
      <w:r>
        <w:rPr>
          <w:color w:val="000000"/>
        </w:rPr>
        <w:t xml:space="preserve"> Organização de Estados Ibero-americanos em Montevidéu, órgão que administra os fundos RECAM</w:t>
      </w:r>
      <w:r>
        <w:t xml:space="preserve"> </w:t>
      </w:r>
      <w:r>
        <w:rPr>
          <w:b/>
          <w:color w:val="000000"/>
        </w:rPr>
        <w:t>(Anexo X</w:t>
      </w:r>
      <w:r w:rsidR="00785138">
        <w:rPr>
          <w:b/>
        </w:rPr>
        <w:t>IX</w:t>
      </w:r>
      <w:r>
        <w:rPr>
          <w:b/>
          <w:color w:val="000000"/>
        </w:rPr>
        <w:t>)</w:t>
      </w:r>
      <w:r>
        <w:rPr>
          <w:color w:val="000000"/>
        </w:rPr>
        <w:t xml:space="preserve">. </w:t>
      </w:r>
      <w:r>
        <w:t>O</w:t>
      </w:r>
      <w:r>
        <w:rPr>
          <w:color w:val="000000"/>
        </w:rPr>
        <w:t xml:space="preserve">s </w:t>
      </w:r>
      <w:r>
        <w:t>países aprovaram</w:t>
      </w:r>
      <w:r>
        <w:rPr>
          <w:color w:val="000000"/>
        </w:rPr>
        <w:t xml:space="preserve"> </w:t>
      </w:r>
      <w:r>
        <w:t>a gestão da Secretaria Técnica da RECAM.</w:t>
      </w:r>
    </w:p>
    <w:p w14:paraId="05FF44D0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CFF8122" w14:textId="38902D3A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Neste contexto, foi tratado o orçamento e as contribuições para o ano 20</w:t>
      </w:r>
      <w:r>
        <w:t>24</w:t>
      </w:r>
      <w:r>
        <w:rPr>
          <w:color w:val="000000"/>
        </w:rPr>
        <w:t xml:space="preserve">, mantendo os seguintes montantes e </w:t>
      </w:r>
      <w:r>
        <w:t>acrescentando um aporte extra para a constituição de um fundo para o concurso</w:t>
      </w:r>
      <w:r w:rsidR="00C14127">
        <w:t xml:space="preserve"> de desenvolvimento de projetos no Mercosul</w:t>
      </w:r>
      <w:r>
        <w:rPr>
          <w:color w:val="000000"/>
        </w:rPr>
        <w:t>:</w:t>
      </w:r>
    </w:p>
    <w:p w14:paraId="6109B736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CC685DB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ab/>
        <w:t xml:space="preserve">Argentina </w:t>
      </w:r>
      <w:r>
        <w:rPr>
          <w:color w:val="000000"/>
        </w:rPr>
        <w:tab/>
        <w:t>USD 24mil +</w:t>
      </w:r>
      <w:r>
        <w:t xml:space="preserve"> USD 10mil para o concurso</w:t>
      </w:r>
    </w:p>
    <w:p w14:paraId="770A0A55" w14:textId="0C47DBF1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ab/>
        <w:t>Brasil</w:t>
      </w:r>
      <w:r>
        <w:rPr>
          <w:color w:val="000000"/>
        </w:rPr>
        <w:tab/>
      </w:r>
      <w:r>
        <w:rPr>
          <w:color w:val="000000"/>
        </w:rPr>
        <w:tab/>
        <w:t xml:space="preserve">USD </w:t>
      </w:r>
      <w:r w:rsidR="00FE53F9">
        <w:t>2</w:t>
      </w:r>
      <w:r w:rsidR="005F5E11">
        <w:t>4</w:t>
      </w:r>
      <w:r>
        <w:rPr>
          <w:color w:val="000000"/>
        </w:rPr>
        <w:t xml:space="preserve"> mil </w:t>
      </w:r>
      <w:r>
        <w:t>+ USD 10mil para o concurso</w:t>
      </w:r>
    </w:p>
    <w:p w14:paraId="573B4EAC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ab/>
        <w:t>Paraguai</w:t>
      </w:r>
      <w:r>
        <w:rPr>
          <w:color w:val="000000"/>
        </w:rPr>
        <w:tab/>
        <w:t xml:space="preserve">USD 3 mil </w:t>
      </w:r>
      <w:r>
        <w:t>+ USD 5mil para o concurso</w:t>
      </w:r>
    </w:p>
    <w:p w14:paraId="1945F6A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ab/>
        <w:t>Uruguai</w:t>
      </w:r>
      <w:r>
        <w:rPr>
          <w:color w:val="000000"/>
        </w:rPr>
        <w:tab/>
        <w:t xml:space="preserve">USD </w:t>
      </w:r>
      <w:r>
        <w:t>4,8mil</w:t>
      </w:r>
      <w:r>
        <w:rPr>
          <w:color w:val="000000"/>
        </w:rPr>
        <w:t xml:space="preserve"> + </w:t>
      </w:r>
      <w:r>
        <w:t>+ USD 5mil para o concurso</w:t>
      </w:r>
    </w:p>
    <w:p w14:paraId="2C131F4F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4A4E29A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No caso do Brasil, o aporte complementar será efetivado no ano 2023.</w:t>
      </w:r>
    </w:p>
    <w:p w14:paraId="74962408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EF12AF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</w:rPr>
        <w:t>10</w:t>
      </w:r>
      <w:r>
        <w:rPr>
          <w:b/>
          <w:color w:val="000000"/>
        </w:rPr>
        <w:t>. OUTROS ASSUNTOS</w:t>
      </w:r>
    </w:p>
    <w:p w14:paraId="4508FF8C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54066D8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</w:rPr>
      </w:pPr>
      <w:r>
        <w:rPr>
          <w:b/>
        </w:rPr>
        <w:t>10.1 MERCOSUL Cultural</w:t>
      </w:r>
    </w:p>
    <w:p w14:paraId="12B61CC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1210DF6" w14:textId="77777777" w:rsidR="007851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O</w:t>
      </w:r>
      <w:r>
        <w:rPr>
          <w:color w:val="000000"/>
        </w:rPr>
        <w:t xml:space="preserve"> representante da Assessoria I</w:t>
      </w:r>
      <w:r>
        <w:t>nternacional do Ministério da Cultura fe</w:t>
      </w:r>
      <w:r>
        <w:rPr>
          <w:color w:val="000000"/>
        </w:rPr>
        <w:t xml:space="preserve">z uma apresentação sobre </w:t>
      </w:r>
      <w:r>
        <w:t>as atividades d</w:t>
      </w:r>
      <w:r>
        <w:rPr>
          <w:color w:val="000000"/>
        </w:rPr>
        <w:t xml:space="preserve">o Mercosul Cultural </w:t>
      </w:r>
      <w:r>
        <w:t xml:space="preserve">e destacou a importância de </w:t>
      </w:r>
      <w:r>
        <w:lastRenderedPageBreak/>
        <w:t>aproveitar as sinergias entre a RECAM e o Mercosul Cultural, explorando ações comuns.</w:t>
      </w:r>
    </w:p>
    <w:p w14:paraId="16ACF787" w14:textId="77777777" w:rsidR="00785138" w:rsidRDefault="007851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F7B9E04" w14:textId="04A0B86F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Destacou que na estrutura do MERCOSUL, a RECAM está subordinada ao GMC e o MERCOSUL Cultural, ao CMC e, por isso, os dois órgãos parecem caminhar separadamente. Com objetivo de reduzir essa distância, o MinC definiu diretrizes comuns para a atuação dos dois órgãos durante a PPTB 2023: fortalecimento da democracia, combate ao racismo, participação social e preservação da memória. Além disso, comentou-se propostas de integração das comissões especializadas do MERCOSUL Cultural com a pauta do audiovisual, sendo os destaques: MICSUL 2024, que acontecerá no Chile; a campanha MERCOSUL sem racismo, que utilizará o audiovisual como forma de conscientização dos povos; o SICSUL, que pode ser usado como plataforma para reunir dados do setor audiovisual.</w:t>
      </w:r>
    </w:p>
    <w:p w14:paraId="7469EC79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EA1C2E3" w14:textId="116A1779" w:rsidR="00F04A38" w:rsidRDefault="00000000">
      <w:pPr>
        <w:ind w:firstLine="720"/>
        <w:rPr>
          <w:b/>
        </w:rPr>
      </w:pPr>
      <w:r>
        <w:rPr>
          <w:b/>
        </w:rPr>
        <w:t xml:space="preserve">10.2 </w:t>
      </w:r>
      <w:r w:rsidR="00C70936">
        <w:rPr>
          <w:b/>
        </w:rPr>
        <w:t xml:space="preserve">Mercado Audiovisual Entre </w:t>
      </w:r>
      <w:proofErr w:type="spellStart"/>
      <w:r w:rsidR="00C70936">
        <w:rPr>
          <w:b/>
        </w:rPr>
        <w:t>Fronteras</w:t>
      </w:r>
      <w:proofErr w:type="spellEnd"/>
    </w:p>
    <w:p w14:paraId="3EBE4BB7" w14:textId="5E800093" w:rsidR="00F04A38" w:rsidRDefault="00000000">
      <w:r>
        <w:t>O representante do IA</w:t>
      </w:r>
      <w:r w:rsidR="005F5E11">
        <w:t>AVIM</w:t>
      </w:r>
      <w:r>
        <w:t xml:space="preserve"> apresentou o Mercado Audiovisual Entre Fronteiras, </w:t>
      </w:r>
      <w:r w:rsidR="005F5E11">
        <w:t>que teve sua primeira</w:t>
      </w:r>
      <w:r>
        <w:t xml:space="preserve"> edição </w:t>
      </w:r>
      <w:r w:rsidR="005F5E11">
        <w:t xml:space="preserve">em </w:t>
      </w:r>
      <w:r>
        <w:t xml:space="preserve">2021 em Misiones, em 2022 em Gramado, 2023 em Asunción, além das propostas para a quarta edição a </w:t>
      </w:r>
      <w:r w:rsidR="00C14127">
        <w:t>realizar-se</w:t>
      </w:r>
      <w:r>
        <w:t xml:space="preserve"> em 2024 em Misiones </w:t>
      </w:r>
      <w:r w:rsidRPr="00785138">
        <w:rPr>
          <w:b/>
          <w:bCs/>
        </w:rPr>
        <w:t>(Anexo X</w:t>
      </w:r>
      <w:r w:rsidR="00785138" w:rsidRPr="00785138">
        <w:rPr>
          <w:b/>
          <w:bCs/>
        </w:rPr>
        <w:t>X</w:t>
      </w:r>
      <w:r w:rsidRPr="00785138">
        <w:rPr>
          <w:b/>
          <w:bCs/>
        </w:rPr>
        <w:t>)</w:t>
      </w:r>
      <w:r>
        <w:t xml:space="preserve">. As Autoridades valorizaram o espaço </w:t>
      </w:r>
      <w:r w:rsidR="00C14127">
        <w:t>de</w:t>
      </w:r>
      <w:r>
        <w:t xml:space="preserve"> integração e confirmaram a participação e apoio para a nova edição.</w:t>
      </w:r>
    </w:p>
    <w:p w14:paraId="071E46AE" w14:textId="2F1B6B7C" w:rsidR="002411F2" w:rsidRDefault="002411F2">
      <w:r>
        <w:t>A Diretora do Instituto Estadual de Cinema do Rio Grande do Sul também participou desse espaço, em modo virtual reforçando a relevância da iniciativa.</w:t>
      </w:r>
    </w:p>
    <w:p w14:paraId="256B8FB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A75FA7C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Os países agradeceram a hospitalidade da Secretaria do Audiovisual e do Florianópolis Audiovisual Mercosul na realização da reunião </w:t>
      </w:r>
    </w:p>
    <w:p w14:paraId="0B174310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9D7B691" w14:textId="77777777" w:rsidR="005F5E11" w:rsidRDefault="005F5E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6747264" w14:textId="0C3A7644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PRÓXIMA REUNIÃO ORDINÁRIA</w:t>
      </w:r>
    </w:p>
    <w:p w14:paraId="0C5514F0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3710EDEA" w14:textId="033BEB7E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RECAM realizará a próxima Reunião Ordinária no Paraguai durante o primeiro semestre de 20</w:t>
      </w:r>
      <w:r>
        <w:t>24</w:t>
      </w:r>
      <w:r>
        <w:rPr>
          <w:color w:val="000000"/>
        </w:rPr>
        <w:t>, com data a definir.</w:t>
      </w:r>
    </w:p>
    <w:p w14:paraId="1F8402BA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6694F72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11992E5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ANEXOS</w:t>
      </w:r>
    </w:p>
    <w:p w14:paraId="3D2523CC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54DB2352" w14:textId="77777777" w:rsidR="00F04A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Os Anexos que formam parte da presente Ata são os seguintes:</w:t>
      </w:r>
    </w:p>
    <w:p w14:paraId="75E6F54D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2"/>
        <w:tblW w:w="9082" w:type="dxa"/>
        <w:tblInd w:w="1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20"/>
        <w:gridCol w:w="4962"/>
      </w:tblGrid>
      <w:tr w:rsidR="00F04A38" w14:paraId="535590AC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2261585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I</w:t>
            </w:r>
          </w:p>
          <w:p w14:paraId="385D761F" w14:textId="77777777" w:rsidR="001C4307" w:rsidRDefault="001C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4895382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Lista de Participantes</w:t>
            </w:r>
          </w:p>
        </w:tc>
      </w:tr>
      <w:tr w:rsidR="00F04A38" w14:paraId="354FEB7A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7A0A86A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II</w:t>
            </w:r>
          </w:p>
          <w:p w14:paraId="149BE670" w14:textId="77777777" w:rsidR="001C4307" w:rsidRDefault="001C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BE402E5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Agenda</w:t>
            </w:r>
          </w:p>
        </w:tc>
      </w:tr>
      <w:tr w:rsidR="00F04A38" w14:paraId="0CE5E633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CA67915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Anexo III</w:t>
            </w:r>
          </w:p>
          <w:p w14:paraId="56096A74" w14:textId="77777777" w:rsidR="001C4307" w:rsidRDefault="001C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245DAC1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Resumo da Ata</w:t>
            </w:r>
          </w:p>
        </w:tc>
      </w:tr>
      <w:tr w:rsidR="00F04A38" w14:paraId="00D77350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27B3029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IV</w:t>
            </w:r>
          </w:p>
          <w:p w14:paraId="6ABCDBF6" w14:textId="77777777" w:rsidR="001C4307" w:rsidRDefault="001C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A4F575D" w14:textId="4B4D9011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t xml:space="preserve">Relatório INCAA </w:t>
            </w:r>
          </w:p>
        </w:tc>
      </w:tr>
      <w:tr w:rsidR="00F04A38" w14:paraId="174CA5EF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46F8672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8171207" w14:textId="66D96480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Relatório </w:t>
            </w:r>
            <w:r w:rsidR="00201959">
              <w:t>INAP</w:t>
            </w:r>
          </w:p>
          <w:p w14:paraId="2585C112" w14:textId="77777777" w:rsidR="001C4307" w:rsidRDefault="001C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F04A38" w14:paraId="3E3CE93E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B910296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VI</w:t>
            </w:r>
          </w:p>
          <w:p w14:paraId="728685DB" w14:textId="77777777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DCA2011" w14:textId="0B9FF898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Relatório Observatório ACAU</w:t>
            </w:r>
          </w:p>
        </w:tc>
      </w:tr>
      <w:tr w:rsidR="00F04A38" w14:paraId="6CE52BD0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9E04192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VII</w:t>
            </w:r>
          </w:p>
          <w:p w14:paraId="41CCCAC9" w14:textId="77777777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88C63FF" w14:textId="03B1119A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Grau de Cumprimento 2023</w:t>
            </w:r>
          </w:p>
        </w:tc>
      </w:tr>
      <w:tr w:rsidR="00F04A38" w14:paraId="05A28333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ECEC645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Anexo VIII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6E0E99A" w14:textId="77777777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Novo temas Plano de Trabalho</w:t>
            </w:r>
          </w:p>
          <w:p w14:paraId="4D991AB5" w14:textId="54A8B642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F04A38" w14:paraId="3396C571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8FEF27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Anexo IX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5A31EF6" w14:textId="5BA073B7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Postal RECAM 20 anos </w:t>
            </w:r>
          </w:p>
          <w:p w14:paraId="1AD68AC7" w14:textId="08727378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F04A38" w14:paraId="289B7ABF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A214F07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Anexo X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3DE69CC" w14:textId="77777777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Relatório Plataforma Mercosul Audiovisual</w:t>
            </w:r>
          </w:p>
          <w:p w14:paraId="2AE18441" w14:textId="03756D31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F04A38" w14:paraId="274BB7CD" w14:textId="77777777">
        <w:trPr>
          <w:trHeight w:val="380"/>
        </w:trPr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FC0AFA6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Anexo XI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623492F" w14:textId="77777777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Relatório Salas Argentinas RSD</w:t>
            </w:r>
          </w:p>
          <w:p w14:paraId="4E1F7155" w14:textId="5B803273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04A38" w14:paraId="275576CF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6F8DC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Anexo XII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5CB0B" w14:textId="502D17EC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</w:t>
            </w:r>
            <w:r w:rsidR="00201959">
              <w:t>Prémios RECAM</w:t>
            </w:r>
          </w:p>
          <w:p w14:paraId="371B2489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04A38" w14:paraId="2AF88CF6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BB147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Anexo XIII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CAE9B" w14:textId="66A97A99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</w:t>
            </w:r>
            <w:r w:rsidR="00201959">
              <w:t>Programação FAM</w:t>
            </w:r>
          </w:p>
          <w:p w14:paraId="53136AE4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04A38" w14:paraId="6E38C5F8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FBDDB" w14:textId="56D15198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XIV</w:t>
            </w:r>
          </w:p>
          <w:p w14:paraId="1C4494EF" w14:textId="77777777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246F4" w14:textId="75527056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Proposta Acordo de Coprodução Mercosul</w:t>
            </w:r>
          </w:p>
        </w:tc>
      </w:tr>
      <w:tr w:rsidR="00F04A38" w14:paraId="692C0BCA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6BE8E" w14:textId="1CB91AD7" w:rsidR="0044592E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XV</w:t>
            </w:r>
          </w:p>
          <w:p w14:paraId="53778CA0" w14:textId="77777777" w:rsidR="00C57D73" w:rsidRDefault="00C5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  <w:p w14:paraId="130FB84D" w14:textId="7964A229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XVI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33923" w14:textId="77777777" w:rsidR="00F04A38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Fundo desenvolvimento de curtas</w:t>
            </w:r>
          </w:p>
          <w:p w14:paraId="6288679C" w14:textId="29EE1824" w:rsidR="00201959" w:rsidRDefault="0020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</w:t>
            </w:r>
          </w:p>
          <w:p w14:paraId="0AF0D7C4" w14:textId="77777777" w:rsidR="0044592E" w:rsidRDefault="00C5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>Relatório Acessibilidade Audiovisual</w:t>
            </w:r>
          </w:p>
          <w:p w14:paraId="5D1E2987" w14:textId="2E20F8B8" w:rsidR="00C57D73" w:rsidRDefault="00C5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04A38" w14:paraId="60C68D79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D25DD" w14:textId="69ED7F93" w:rsidR="00F04A38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XVII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36232" w14:textId="77777777" w:rsidR="00F04A38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t xml:space="preserve"> Concurso Boas práticas da Sociedade Civil</w:t>
            </w:r>
          </w:p>
          <w:p w14:paraId="2E327530" w14:textId="4D3DC7DD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44592E" w14:paraId="778EA73E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DABFF" w14:textId="2F139CEF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XVIII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178D5" w14:textId="5ABD072F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Encontro especialistas Patrimônio</w:t>
            </w:r>
          </w:p>
          <w:p w14:paraId="639C2043" w14:textId="7625C22F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4592E" w14:paraId="3997C0D3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F86EE" w14:textId="77777777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XIX</w:t>
            </w:r>
          </w:p>
          <w:p w14:paraId="36FF5192" w14:textId="6205AA1F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920AE" w14:textId="1772A4FC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Relatório administrativo OEI</w:t>
            </w:r>
          </w:p>
        </w:tc>
      </w:tr>
      <w:tr w:rsidR="0044592E" w14:paraId="2805D1C4" w14:textId="77777777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5ACDB" w14:textId="77777777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>
              <w:rPr>
                <w:b/>
              </w:rPr>
              <w:t xml:space="preserve"> Anexo XX</w:t>
            </w:r>
          </w:p>
          <w:p w14:paraId="2473C69C" w14:textId="45039710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71B7A" w14:textId="699FCBAB" w:rsidR="0044592E" w:rsidRDefault="00445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Proposta IAAVIM MAEF 2024</w:t>
            </w:r>
          </w:p>
        </w:tc>
      </w:tr>
    </w:tbl>
    <w:p w14:paraId="3C2E4F65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7A8B9DF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EEF743A" w14:textId="3255501D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E53B43D" w14:textId="77777777" w:rsidR="0044592E" w:rsidRDefault="0044592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4ADB9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9D62551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0"/>
        <w:gridCol w:w="4430"/>
      </w:tblGrid>
      <w:tr w:rsidR="00F04A38" w14:paraId="583F6AC2" w14:textId="77777777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24D86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3144D0E4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380E920C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--------------------------------------------------</w:t>
            </w:r>
          </w:p>
          <w:p w14:paraId="22059A52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t xml:space="preserve">Nicolás </w:t>
            </w:r>
            <w:proofErr w:type="spellStart"/>
            <w:r>
              <w:t>Batlle</w:t>
            </w:r>
            <w:proofErr w:type="spellEnd"/>
          </w:p>
          <w:p w14:paraId="4BFE0BF6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Pela Delegação da Argentina</w:t>
            </w:r>
          </w:p>
          <w:p w14:paraId="6C1DC3D7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0963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09480597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2B0B378A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----------------------------------------------</w:t>
            </w:r>
          </w:p>
          <w:p w14:paraId="685E801F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t>Joelma Gonzaga</w:t>
            </w:r>
          </w:p>
          <w:p w14:paraId="0C66210C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Pela Delegação do Brasil</w:t>
            </w:r>
          </w:p>
          <w:p w14:paraId="450E7F88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F04A38" w14:paraId="016834A6" w14:textId="77777777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F72F7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641A2314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59C09CB1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4D4817C1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61C41EB4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3BDAC631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52F227BB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--------------------------------------------------</w:t>
            </w:r>
          </w:p>
          <w:p w14:paraId="2EEB1A49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t>Christian Gayoso</w:t>
            </w:r>
          </w:p>
          <w:p w14:paraId="0C5C24D6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Pela Delegação do Paraguai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DCFB4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3515FB71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275BE9BB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0C226FF2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202D558E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0637FCBC" w14:textId="77777777" w:rsidR="00F04A38" w:rsidRDefault="00F0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14:paraId="2CE76B1A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-----------------------------------------------</w:t>
            </w:r>
          </w:p>
          <w:p w14:paraId="45047DC4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Facundo Ponce de León</w:t>
            </w:r>
          </w:p>
          <w:p w14:paraId="5859A051" w14:textId="77777777" w:rsidR="00F04A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Pela Delegação do Uruguai</w:t>
            </w:r>
          </w:p>
        </w:tc>
      </w:tr>
    </w:tbl>
    <w:p w14:paraId="15B86307" w14:textId="77777777" w:rsidR="00F04A38" w:rsidRDefault="00F04A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sectPr w:rsidR="00F04A38" w:rsidSect="00624C07">
      <w:footerReference w:type="default" r:id="rId7"/>
      <w:pgSz w:w="11906" w:h="16838" w:code="9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82B7" w14:textId="77777777" w:rsidR="00F3235B" w:rsidRDefault="00F3235B">
      <w:pPr>
        <w:spacing w:after="0" w:line="240" w:lineRule="auto"/>
      </w:pPr>
      <w:r>
        <w:separator/>
      </w:r>
    </w:p>
  </w:endnote>
  <w:endnote w:type="continuationSeparator" w:id="0">
    <w:p w14:paraId="2626D049" w14:textId="77777777" w:rsidR="00F3235B" w:rsidRDefault="00F3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2144" w14:textId="77777777" w:rsidR="00F04A38" w:rsidRDefault="0000000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85138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6093" w14:textId="77777777" w:rsidR="00F3235B" w:rsidRDefault="00F3235B">
      <w:pPr>
        <w:spacing w:after="0" w:line="240" w:lineRule="auto"/>
      </w:pPr>
      <w:r>
        <w:separator/>
      </w:r>
    </w:p>
  </w:footnote>
  <w:footnote w:type="continuationSeparator" w:id="0">
    <w:p w14:paraId="2FB115DA" w14:textId="77777777" w:rsidR="00F3235B" w:rsidRDefault="00F32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38"/>
    <w:rsid w:val="001C4307"/>
    <w:rsid w:val="00201959"/>
    <w:rsid w:val="002411F2"/>
    <w:rsid w:val="0044592E"/>
    <w:rsid w:val="005F5E11"/>
    <w:rsid w:val="00624C07"/>
    <w:rsid w:val="00785138"/>
    <w:rsid w:val="009360AC"/>
    <w:rsid w:val="00AA6729"/>
    <w:rsid w:val="00B4433C"/>
    <w:rsid w:val="00C14127"/>
    <w:rsid w:val="00C57D73"/>
    <w:rsid w:val="00C70936"/>
    <w:rsid w:val="00CE5684"/>
    <w:rsid w:val="00F04A38"/>
    <w:rsid w:val="00F3235B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E5D9"/>
  <w15:docId w15:val="{517C895A-596B-46F7-9119-5FA05BC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es-UY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rsid w:val="008308FA"/>
    <w:pPr>
      <w:widowControl w:val="0"/>
      <w:spacing w:before="480" w:after="120"/>
      <w:outlineLvl w:val="0"/>
    </w:pPr>
    <w:rPr>
      <w:b/>
      <w:sz w:val="36"/>
    </w:rPr>
  </w:style>
  <w:style w:type="paragraph" w:styleId="Ttulo2">
    <w:name w:val="heading 2"/>
    <w:uiPriority w:val="9"/>
    <w:semiHidden/>
    <w:unhideWhenUsed/>
    <w:qFormat/>
    <w:rsid w:val="008308FA"/>
    <w:pPr>
      <w:widowControl w:val="0"/>
      <w:spacing w:before="360" w:after="80"/>
      <w:outlineLvl w:val="1"/>
    </w:pPr>
    <w:rPr>
      <w:b/>
      <w:sz w:val="28"/>
    </w:rPr>
  </w:style>
  <w:style w:type="paragraph" w:styleId="Ttulo3">
    <w:name w:val="heading 3"/>
    <w:uiPriority w:val="9"/>
    <w:semiHidden/>
    <w:unhideWhenUsed/>
    <w:qFormat/>
    <w:rsid w:val="008308FA"/>
    <w:pPr>
      <w:widowControl w:val="0"/>
      <w:spacing w:before="280" w:after="80"/>
      <w:outlineLvl w:val="2"/>
    </w:pPr>
    <w:rPr>
      <w:rFonts w:ascii="Calibri" w:hAnsi="Calibri"/>
      <w:b/>
      <w:color w:val="666666"/>
    </w:rPr>
  </w:style>
  <w:style w:type="paragraph" w:styleId="Ttulo4">
    <w:name w:val="heading 4"/>
    <w:uiPriority w:val="9"/>
    <w:semiHidden/>
    <w:unhideWhenUsed/>
    <w:qFormat/>
    <w:rsid w:val="008308FA"/>
    <w:pPr>
      <w:widowControl w:val="0"/>
      <w:spacing w:before="240" w:after="40"/>
      <w:outlineLvl w:val="3"/>
    </w:pPr>
    <w:rPr>
      <w:rFonts w:ascii="Calibri" w:hAnsi="Calibri"/>
      <w:i/>
      <w:color w:val="666666"/>
    </w:rPr>
  </w:style>
  <w:style w:type="paragraph" w:styleId="Ttulo5">
    <w:name w:val="heading 5"/>
    <w:uiPriority w:val="9"/>
    <w:semiHidden/>
    <w:unhideWhenUsed/>
    <w:qFormat/>
    <w:rsid w:val="008308FA"/>
    <w:pPr>
      <w:widowControl w:val="0"/>
      <w:spacing w:before="220" w:after="40"/>
      <w:outlineLvl w:val="4"/>
    </w:pPr>
    <w:rPr>
      <w:rFonts w:ascii="Calibri" w:hAnsi="Calibri"/>
      <w:b/>
      <w:color w:val="666666"/>
      <w:sz w:val="20"/>
    </w:rPr>
  </w:style>
  <w:style w:type="paragraph" w:styleId="Ttulo6">
    <w:name w:val="heading 6"/>
    <w:uiPriority w:val="9"/>
    <w:semiHidden/>
    <w:unhideWhenUsed/>
    <w:qFormat/>
    <w:rsid w:val="008308FA"/>
    <w:pPr>
      <w:widowControl w:val="0"/>
      <w:spacing w:before="200" w:after="40"/>
      <w:outlineLvl w:val="5"/>
    </w:pPr>
    <w:rPr>
      <w:rFonts w:ascii="Calibri" w:hAnsi="Calibri"/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cs="Courier New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8308FA"/>
    <w:rPr>
      <w:color w:val="000000"/>
    </w:rPr>
  </w:style>
  <w:style w:type="paragraph" w:customStyle="1" w:styleId="Ttulododocumento">
    <w:name w:val="Título do documento"/>
    <w:basedOn w:val="Normal1"/>
    <w:next w:val="Normal1"/>
    <w:rsid w:val="008308FA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B2868"/>
    <w:pPr>
      <w:ind w:left="720"/>
      <w:contextualSpacing/>
    </w:pPr>
  </w:style>
  <w:style w:type="paragraph" w:customStyle="1" w:styleId="Rodap">
    <w:name w:val="Rodapé"/>
    <w:basedOn w:val="Normal"/>
  </w:style>
  <w:style w:type="table" w:styleId="Tablaconcuadrcula">
    <w:name w:val="Table Grid"/>
    <w:basedOn w:val="Tablanormal"/>
    <w:uiPriority w:val="59"/>
    <w:rsid w:val="000F41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PhPoPgN6YbUyvAG8XZv3cJ8xw==">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2504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RECAM OEI</cp:lastModifiedBy>
  <cp:revision>3</cp:revision>
  <cp:lastPrinted>2023-09-26T15:58:00Z</cp:lastPrinted>
  <dcterms:created xsi:type="dcterms:W3CDTF">2023-09-24T04:18:00Z</dcterms:created>
  <dcterms:modified xsi:type="dcterms:W3CDTF">2023-09-26T15:58:00Z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