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252"/>
          <w:tab w:val="right" w:leader="none" w:pos="8504"/>
        </w:tabs>
        <w:spacing w:line="240" w:lineRule="auto"/>
        <w:ind w:left="0" w:hanging="2"/>
        <w:rPr/>
      </w:pPr>
      <w:r w:rsidDel="00000000" w:rsidR="00000000" w:rsidRPr="00000000">
        <w:rPr>
          <w:color w:val="000000"/>
        </w:rPr>
        <w:drawing>
          <wp:inline distB="0" distT="0" distL="114300" distR="114300">
            <wp:extent cx="1205230" cy="763905"/>
            <wp:effectExtent b="0" l="0" r="0" t="0"/>
            <wp:docPr id="102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7639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rtl w:val="0"/>
        </w:rPr>
        <w:t xml:space="preserve">                     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4295775</wp:posOffset>
            </wp:positionH>
            <wp:positionV relativeFrom="paragraph">
              <wp:posOffset>0</wp:posOffset>
            </wp:positionV>
            <wp:extent cx="1143635" cy="725805"/>
            <wp:effectExtent b="0" l="0" r="0" t="0"/>
            <wp:wrapNone/>
            <wp:docPr id="10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7258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tabs>
          <w:tab w:val="center" w:leader="none" w:pos="4252"/>
          <w:tab w:val="right" w:leader="none" w:pos="8504"/>
        </w:tabs>
        <w:ind w:left="0" w:hanging="2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252"/>
          <w:tab w:val="right" w:leader="none" w:pos="8504"/>
        </w:tabs>
        <w:spacing w:line="240" w:lineRule="auto"/>
        <w:ind w:left="0" w:hanging="2"/>
        <w:rPr/>
      </w:pPr>
      <w:r w:rsidDel="00000000" w:rsidR="00000000" w:rsidRPr="00000000">
        <w:rPr>
          <w:color w:val="000000"/>
          <w:rtl w:val="0"/>
        </w:rPr>
        <w:t xml:space="preserve">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/>
      </w:pPr>
      <w:r w:rsidDel="00000000" w:rsidR="00000000" w:rsidRPr="00000000">
        <w:rPr>
          <w:b w:val="1"/>
          <w:color w:val="000000"/>
          <w:rtl w:val="0"/>
        </w:rPr>
        <w:t xml:space="preserve">MERCOSUR/SGT Nº 10/RETP/ACTA Nº 0</w:t>
      </w:r>
      <w:r w:rsidDel="00000000" w:rsidR="00000000" w:rsidRPr="00000000">
        <w:rPr>
          <w:b w:val="1"/>
          <w:rtl w:val="0"/>
        </w:rPr>
        <w:t xml:space="preserve">1</w:t>
      </w:r>
      <w:r w:rsidDel="00000000" w:rsidR="00000000" w:rsidRPr="00000000">
        <w:rPr>
          <w:b w:val="1"/>
          <w:color w:val="000000"/>
          <w:rtl w:val="0"/>
        </w:rPr>
        <w:t xml:space="preserve">/2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0" w:hanging="2"/>
        <w:jc w:val="both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REUNIÓN DEL EQUIPO TÉCNICO DEL PLAN REGIONAL PARA LA PREVENCIÓN Y ERRADICACIÓN DEL TRABAJO FORZOSO Y LA TRATA DE PERSONAS CON FINES DE EXPLOTACIÓN LABORAL(RETP)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70" w:lineRule="auto"/>
        <w:ind w:left="0" w:hanging="2"/>
        <w:jc w:val="center"/>
        <w:rPr>
          <w:b w:val="1"/>
        </w:rPr>
      </w:pPr>
      <w:bookmarkStart w:colFirst="0" w:colLast="0" w:name="_heading=h.s9z893ths4pk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70" w:lineRule="auto"/>
        <w:ind w:left="0" w:hanging="2"/>
        <w:jc w:val="center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(Ref. Plan regional para la prevención y erradicación del trabajo forzoso y la trata de personas con fines de explotación laboral (Res. GMC 27/19)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Se realizó el día  </w:t>
      </w:r>
      <w:r w:rsidDel="00000000" w:rsidR="00000000" w:rsidRPr="00000000">
        <w:rPr>
          <w:rtl w:val="0"/>
        </w:rPr>
        <w:t xml:space="preserve"> 24 de abril de 2023</w:t>
      </w:r>
      <w:r w:rsidDel="00000000" w:rsidR="00000000" w:rsidRPr="00000000">
        <w:rPr>
          <w:color w:val="000000"/>
          <w:rtl w:val="0"/>
        </w:rPr>
        <w:t xml:space="preserve">, e</w:t>
      </w:r>
      <w:r w:rsidDel="00000000" w:rsidR="00000000" w:rsidRPr="00000000">
        <w:rPr>
          <w:rtl w:val="0"/>
        </w:rPr>
        <w:t xml:space="preserve">n ejercicio de la Presidencia </w:t>
      </w:r>
      <w:r w:rsidDel="00000000" w:rsidR="00000000" w:rsidRPr="00000000">
        <w:rPr>
          <w:i w:val="1"/>
          <w:rtl w:val="0"/>
        </w:rPr>
        <w:t xml:space="preserve">Pro Tempore</w:t>
      </w:r>
      <w:r w:rsidDel="00000000" w:rsidR="00000000" w:rsidRPr="00000000">
        <w:rPr>
          <w:rtl w:val="0"/>
        </w:rPr>
        <w:t xml:space="preserve"> de Argentina (PPTA), la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REUNIÓN DEL EQUIPO TÉCNICO DEL PLAN REGIONAL PARA LA PREVENCIÓN Y ERRADICACIÓN DEL TRABAJO FORZOSO Y LA TRATA DE PERSONAS CON FINES DE EXPLOTACIÓN LABORAL(RETP)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por sistema de videoconferencia de conformidad con lo dispuesto en la Resolución GMC N° 19/12, con la presencia de las delegaciones de Argentina, Brasil, Paraguay y Uruguay </w:t>
      </w:r>
      <w:r w:rsidDel="00000000" w:rsidR="00000000" w:rsidRPr="00000000">
        <w:rPr>
          <w:color w:val="000000"/>
          <w:rtl w:val="0"/>
        </w:rPr>
        <w:t xml:space="preserve">y representantes del sector trabajador y empleador.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98" w:before="280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La lista de participantes consta como </w:t>
      </w:r>
      <w:r w:rsidDel="00000000" w:rsidR="00000000" w:rsidRPr="00000000">
        <w:rPr>
          <w:b w:val="1"/>
          <w:rtl w:val="0"/>
        </w:rPr>
        <w:t xml:space="preserve">Anexo 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80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La agenda de la reunión consta como </w:t>
      </w:r>
      <w:r w:rsidDel="00000000" w:rsidR="00000000" w:rsidRPr="00000000">
        <w:rPr>
          <w:b w:val="1"/>
          <w:rtl w:val="0"/>
        </w:rPr>
        <w:t xml:space="preserve">Anexo 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80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La PPTA dio la bienvenida a las delegaciones presentes y sometió a consideración la Agenda de la Reunión, la misma fue aprobada y consta como anexo. </w:t>
      </w:r>
    </w:p>
    <w:p w:rsidR="00000000" w:rsidDel="00000000" w:rsidP="00000000" w:rsidRDefault="00000000" w:rsidRPr="00000000" w14:paraId="00000010">
      <w:pPr>
        <w:spacing w:before="280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Fueron tratados los siguientes temas:</w:t>
      </w:r>
    </w:p>
    <w:p w:rsidR="00000000" w:rsidDel="00000000" w:rsidP="00000000" w:rsidRDefault="00000000" w:rsidRPr="00000000" w14:paraId="00000011">
      <w:pPr>
        <w:ind w:left="0" w:hanging="2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hanging="2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170" w:lineRule="auto"/>
        <w:ind w:left="0" w:hanging="2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Informe del estado de situación sobre el proyecto de cooperación presentado y aprobado por el Grupo de Cooperación Internacional (CGI), “Campaña de Prevención del Trabajo Forzoso y la Trata de Personas con fines de Explotación Laboral."</w:t>
      </w:r>
    </w:p>
    <w:p w:rsidR="00000000" w:rsidDel="00000000" w:rsidP="00000000" w:rsidRDefault="00000000" w:rsidRPr="00000000" w14:paraId="00000014">
      <w:pPr>
        <w:spacing w:after="17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Se hizo presente la representante de Argentina en el Grupo de Cooperación Internacional quien indicó que este Grupo está realizando las gestiones a fin de conseguir un socio cooperante del proyecto. Las delegaciones brindaron información para poder dar especificaciones al posible socio cooperante.</w:t>
      </w:r>
    </w:p>
    <w:p w:rsidR="00000000" w:rsidDel="00000000" w:rsidP="00000000" w:rsidRDefault="00000000" w:rsidRPr="00000000" w14:paraId="00000015">
      <w:pPr>
        <w:spacing w:after="17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170" w:lineRule="auto"/>
        <w:ind w:left="0" w:hanging="2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Documento “Normas de los Estados Parte del MERCOSUR SOBRE Trabajo Forzoso y Trata de Personas para fines de Explotación Laboral: un análisis comparativo bajo la óptica del plan regional del MERCOSUR para la prevención y erradicación de estos crímenes”</w:t>
      </w:r>
    </w:p>
    <w:p w:rsidR="00000000" w:rsidDel="00000000" w:rsidP="00000000" w:rsidRDefault="00000000" w:rsidRPr="00000000" w14:paraId="00000017">
      <w:pPr>
        <w:spacing w:after="17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Las delegaciones se comprometieron a remitir los aportes al documento hasta el día 2 de mayo inclusive, para ser presentado en la próxima reunión del Subgrupo de Trabajo, Empleo y Seguridad Social Nro. 10 prevista para el día 17 de mayo.</w:t>
      </w:r>
    </w:p>
    <w:p w:rsidR="00000000" w:rsidDel="00000000" w:rsidP="00000000" w:rsidRDefault="00000000" w:rsidRPr="00000000" w14:paraId="00000018">
      <w:pPr>
        <w:spacing w:after="17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A los efectos de culminar la versión en idioma portugués se prevé la realización de una reunión preparatoria  1 de junio a las 10 am.</w:t>
      </w:r>
    </w:p>
    <w:p w:rsidR="00000000" w:rsidDel="00000000" w:rsidP="00000000" w:rsidRDefault="00000000" w:rsidRPr="00000000" w14:paraId="00000019">
      <w:pPr>
        <w:spacing w:after="17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7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170" w:lineRule="auto"/>
        <w:ind w:left="0" w:hanging="2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Propuesta de actividades de sensibilización.</w:t>
      </w:r>
    </w:p>
    <w:p w:rsidR="00000000" w:rsidDel="00000000" w:rsidP="00000000" w:rsidRDefault="00000000" w:rsidRPr="00000000" w14:paraId="0000001C">
      <w:pPr>
        <w:spacing w:after="17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Las delegaciones expresaron su preocupación ante nuevas formas de captación de las personas a través del uso de redes sociales con fines de vinculación personal.</w:t>
      </w:r>
    </w:p>
    <w:p w:rsidR="00000000" w:rsidDel="00000000" w:rsidP="00000000" w:rsidRDefault="00000000" w:rsidRPr="00000000" w14:paraId="0000001D">
      <w:pPr>
        <w:spacing w:after="17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En tal sentido, se destacó la importancia de trabajar con docentes en todos los niveles, para brindarles herramientas de prevención de la trata con fines de explotación laboral y trabajo forzoso, con el objetivo de advertir a los estudiantes sobre el peligro que el uso de estas redes entraña.</w:t>
      </w:r>
    </w:p>
    <w:p w:rsidR="00000000" w:rsidDel="00000000" w:rsidP="00000000" w:rsidRDefault="00000000" w:rsidRPr="00000000" w14:paraId="0000001E">
      <w:pPr>
        <w:spacing w:after="17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Solicitan a las Coordinaciones Nacionales del SGT 10 las gestiones necesarias para generar articulación con los Ministerios de Educación de la región.</w:t>
      </w:r>
    </w:p>
    <w:p w:rsidR="00000000" w:rsidDel="00000000" w:rsidP="00000000" w:rsidRDefault="00000000" w:rsidRPr="00000000" w14:paraId="0000001F">
      <w:pPr>
        <w:spacing w:after="17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170" w:lineRule="auto"/>
        <w:ind w:left="0" w:hanging="2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Evaluación semestral Programa de Trabajo 2023-2024.</w:t>
      </w:r>
    </w:p>
    <w:p w:rsidR="00000000" w:rsidDel="00000000" w:rsidP="00000000" w:rsidRDefault="00000000" w:rsidRPr="00000000" w14:paraId="00000021">
      <w:pPr>
        <w:spacing w:after="17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Las delegaciones intercambiaron opiniones y completaron la evaluación semestral del Programa de Trabajo 2023-2024 de la RETP, a través del Sistema SIM de la Secretaría MERCOSUR.</w:t>
      </w:r>
    </w:p>
    <w:p w:rsidR="00000000" w:rsidDel="00000000" w:rsidP="00000000" w:rsidRDefault="00000000" w:rsidRPr="00000000" w14:paraId="00000022">
      <w:pPr>
        <w:spacing w:after="17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170" w:lineRule="auto"/>
        <w:ind w:left="0" w:hanging="2"/>
        <w:jc w:val="both"/>
        <w:rPr>
          <w:b w:val="1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rtl w:val="0"/>
        </w:rPr>
        <w:t xml:space="preserve">Otros temas: </w:t>
      </w:r>
      <w:r w:rsidDel="00000000" w:rsidR="00000000" w:rsidRPr="00000000">
        <w:rPr>
          <w:b w:val="1"/>
          <w:color w:val="000000"/>
          <w:rtl w:val="0"/>
        </w:rPr>
        <w:t xml:space="preserve">comentarios sobre las Resoluciones GMC N° 53/19 y N° 03/20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-2" w:firstLine="0"/>
        <w:jc w:val="both"/>
        <w:rPr/>
      </w:pPr>
      <w:r w:rsidDel="00000000" w:rsidR="00000000" w:rsidRPr="00000000">
        <w:rPr>
          <w:rtl w:val="0"/>
        </w:rPr>
        <w:t xml:space="preserve">La Bancada Sindical reiteró a la RETP que ratifique su compromiso con el carácter tripartito en su instancia deliberativa (con participación de los actores sociales) y solicite al GMC que se permita suscribir por parte de dichos actores las Actas del Subgrupo de Trabajo N° 10 "Asuntos Laborales, Empleo y Seguridad Social" (SGT N°10).</w:t>
      </w:r>
    </w:p>
    <w:p w:rsidR="00000000" w:rsidDel="00000000" w:rsidP="00000000" w:rsidRDefault="00000000" w:rsidRPr="00000000" w14:paraId="00000026">
      <w:pPr>
        <w:spacing w:after="17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Rule="auto"/>
        <w:ind w:left="0" w:hanging="2"/>
        <w:jc w:val="both"/>
        <w:rPr>
          <w:color w:val="000000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PRÓXIMA REUNIÓN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280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La próxima reunión ordinaria de la RETP, será convocada oportunamente por la PPT.</w:t>
      </w:r>
    </w:p>
    <w:p w:rsidR="00000000" w:rsidDel="00000000" w:rsidP="00000000" w:rsidRDefault="00000000" w:rsidRPr="00000000" w14:paraId="0000002B">
      <w:pPr>
        <w:spacing w:before="280" w:lineRule="auto"/>
        <w:ind w:left="0" w:hanging="2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280" w:lineRule="auto"/>
        <w:ind w:left="0" w:hanging="2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280" w:lineRule="auto"/>
        <w:ind w:left="0" w:hanging="2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280" w:lineRule="auto"/>
        <w:ind w:left="0" w:hanging="2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280" w:lineRule="auto"/>
        <w:ind w:left="0" w:hanging="2"/>
        <w:jc w:val="both"/>
        <w:rPr/>
      </w:pPr>
      <w:bookmarkStart w:colFirst="0" w:colLast="0" w:name="_heading=h.3znysh7" w:id="3"/>
      <w:bookmarkEnd w:id="3"/>
      <w:r w:rsidDel="00000000" w:rsidR="00000000" w:rsidRPr="00000000">
        <w:rPr>
          <w:b w:val="1"/>
          <w:rtl w:val="0"/>
        </w:rPr>
        <w:t xml:space="preserve">ANEXOS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280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Los Anexos que forman parte de la presente Acta son los siguientes: </w:t>
      </w:r>
    </w:p>
    <w:p w:rsidR="00000000" w:rsidDel="00000000" w:rsidP="00000000" w:rsidRDefault="00000000" w:rsidRPr="00000000" w14:paraId="00000031">
      <w:pPr>
        <w:spacing w:before="280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Ind w:w="-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rHeight w:val="75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Anexo 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3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Lista de participantes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Anexo II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Agenda</w:t>
            </w:r>
          </w:p>
        </w:tc>
      </w:tr>
    </w:tbl>
    <w:p w:rsidR="00000000" w:rsidDel="00000000" w:rsidP="00000000" w:rsidRDefault="00000000" w:rsidRPr="00000000" w14:paraId="00000036">
      <w:pPr>
        <w:spacing w:after="240" w:before="280" w:line="276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80" w:line="276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8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80" w:line="276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hanging="2"/>
        <w:rPr>
          <w:highlight w:val="yellow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364.0" w:type="dxa"/>
        <w:jc w:val="left"/>
        <w:tblLayout w:type="fixed"/>
        <w:tblLook w:val="0000"/>
      </w:tblPr>
      <w:tblGrid>
        <w:gridCol w:w="4248"/>
        <w:gridCol w:w="4116"/>
        <w:tblGridChange w:id="0">
          <w:tblGrid>
            <w:gridCol w:w="4248"/>
            <w:gridCol w:w="4116"/>
          </w:tblGrid>
        </w:tblGridChange>
      </w:tblGrid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Por la Delegación de Argentina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252"/>
                <w:tab w:val="right" w:leader="none" w:pos="8504"/>
              </w:tabs>
              <w:ind w:left="0" w:hanging="2"/>
              <w:jc w:val="center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María Laura Ferrante</w:t>
            </w:r>
          </w:p>
          <w:p w:rsidR="00000000" w:rsidDel="00000000" w:rsidP="00000000" w:rsidRDefault="00000000" w:rsidRPr="00000000" w14:paraId="0000003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Por la Delegación de Brasil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252"/>
                <w:tab w:val="right" w:leader="none" w:pos="8504"/>
              </w:tabs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Matheus Viana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Por la Delegación de Paraguay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252"/>
                <w:tab w:val="right" w:leader="none" w:pos="8504"/>
              </w:tabs>
              <w:ind w:left="0" w:hanging="2"/>
              <w:jc w:val="center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Verónica López</w:t>
            </w:r>
          </w:p>
          <w:p w:rsidR="00000000" w:rsidDel="00000000" w:rsidP="00000000" w:rsidRDefault="00000000" w:rsidRPr="00000000" w14:paraId="0000004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Por la Delegación de Uruguay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252"/>
                <w:tab w:val="right" w:leader="none" w:pos="8504"/>
              </w:tabs>
              <w:ind w:left="0" w:hanging="2"/>
              <w:jc w:val="center"/>
              <w:rPr/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Cecilia Ituño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pgSz w:h="16840" w:w="11907" w:orient="portrait"/>
      <w:pgMar w:bottom="993" w:top="284" w:left="1701" w:right="1134" w:header="680" w:footer="42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  <w:font w:name="Times New Roman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tabs>
        <w:tab w:val="center" w:leader="none" w:pos="4419"/>
        <w:tab w:val="right" w:leader="none" w:pos="8838"/>
      </w:tabs>
      <w:ind w:left="0" w:hanging="2"/>
      <w:jc w:val="center"/>
      <w:rPr>
        <w:sz w:val="16"/>
        <w:szCs w:val="16"/>
      </w:rPr>
    </w:pPr>
    <w:r w:rsidDel="00000000" w:rsidR="00000000" w:rsidRPr="00000000">
      <w:rPr>
        <w:b w:val="1"/>
        <w:i w:val="1"/>
        <w:sz w:val="16"/>
        <w:szCs w:val="16"/>
        <w:rtl w:val="0"/>
      </w:rPr>
      <w:t xml:space="preserve">Secretaría del MERCOSUR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tabs>
        <w:tab w:val="center" w:leader="none" w:pos="4419"/>
        <w:tab w:val="right" w:leader="none" w:pos="8838"/>
      </w:tabs>
      <w:ind w:left="0" w:hanging="2"/>
      <w:jc w:val="center"/>
      <w:rPr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Archivo Oficial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tabs>
        <w:tab w:val="center" w:leader="none" w:pos="4419"/>
        <w:tab w:val="right" w:leader="none" w:pos="8838"/>
      </w:tabs>
      <w:ind w:left="0" w:hanging="2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  www.mercosur.int </w:t>
    </w:r>
  </w:p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color w:val="000000"/>
      </w:rPr>
      <w:pict>
        <v:shape id="WordPictureWatermark3" style="position:absolute;width:510.0pt;height:309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10.0pt;height:309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10.0pt;height:309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>
      <w:rFonts w:ascii="Corsiva" w:cs="Corsiva" w:eastAsia="Corsiva" w:hAnsi="Corsiva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firstLine="567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567" w:right="567"/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val="pt-BR"/>
    </w:rPr>
  </w:style>
  <w:style w:type="paragraph" w:styleId="Ttulo1">
    <w:name w:val="heading 1"/>
    <w:basedOn w:val="Normal"/>
    <w:next w:val="Normal"/>
    <w:pPr>
      <w:keepNext w:val="1"/>
      <w:widowControl w:val="0"/>
    </w:pPr>
    <w:rPr>
      <w:rFonts w:ascii="Monotype Corsiva" w:hAnsi="Monotype Corsiva"/>
      <w:b w:val="1"/>
      <w:snapToGrid w:val="0"/>
      <w:sz w:val="28"/>
      <w:lang w:val="es-MX"/>
    </w:rPr>
  </w:style>
  <w:style w:type="paragraph" w:styleId="Ttulo2">
    <w:name w:val="heading 2"/>
    <w:basedOn w:val="Normal"/>
    <w:next w:val="Normal"/>
    <w:pPr>
      <w:keepNext w:val="1"/>
      <w:ind w:firstLine="567"/>
      <w:outlineLvl w:val="1"/>
    </w:pPr>
    <w:rPr>
      <w:b w:val="1"/>
      <w:lang w:val="es-MX"/>
    </w:rPr>
  </w:style>
  <w:style w:type="paragraph" w:styleId="Ttulo3">
    <w:name w:val="heading 3"/>
    <w:basedOn w:val="Normal"/>
    <w:next w:val="Normal"/>
    <w:pPr>
      <w:keepNext w:val="1"/>
      <w:ind w:left="567" w:right="567"/>
      <w:jc w:val="center"/>
      <w:outlineLvl w:val="2"/>
    </w:pPr>
    <w:rPr>
      <w:b w:val="1"/>
      <w:lang w:val="es-UY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spacing w:after="60" w:before="240"/>
      <w:jc w:val="center"/>
    </w:pPr>
    <w:rPr>
      <w:rFonts w:ascii="Cambria" w:cs="Times New Roman" w:eastAsia="Times New Roman" w:hAnsi="Cambria"/>
      <w:b w:val="1"/>
      <w:bCs w:val="1"/>
      <w:kern w:val="28"/>
      <w:sz w:val="32"/>
      <w:szCs w:val="32"/>
    </w:rPr>
  </w:style>
  <w:style w:type="paragraph" w:styleId="Encabezado">
    <w:name w:val="header"/>
    <w:basedOn w:val="Normal"/>
    <w:pPr>
      <w:widowControl w:val="0"/>
      <w:tabs>
        <w:tab w:val="center" w:pos="4252"/>
        <w:tab w:val="right" w:pos="8504"/>
      </w:tabs>
    </w:pPr>
    <w:rPr>
      <w:snapToGrid w:val="0"/>
      <w:lang w:val="es-E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independiente2">
    <w:name w:val="Body Text 2"/>
    <w:basedOn w:val="Normal"/>
    <w:pPr>
      <w:jc w:val="both"/>
    </w:pPr>
    <w:rPr>
      <w:lang w:val="es-ES"/>
    </w:rPr>
  </w:style>
  <w:style w:type="paragraph" w:styleId="Textoindependiente3">
    <w:name w:val="Body Text 3"/>
    <w:basedOn w:val="Normal"/>
    <w:pPr>
      <w:jc w:val="center"/>
    </w:pPr>
    <w:rPr>
      <w:b w:val="1"/>
      <w:caps w:val="1"/>
      <w:sz w:val="36"/>
      <w:u w:val="thick"/>
      <w:lang w:val="es-UY"/>
    </w:rPr>
  </w:style>
  <w:style w:type="paragraph" w:styleId="Sangradetextonormal">
    <w:name w:val="Body Text Indent"/>
    <w:basedOn w:val="Normal"/>
    <w:pPr>
      <w:spacing w:after="120"/>
      <w:ind w:left="283"/>
    </w:pPr>
    <w:rPr>
      <w:rFonts w:ascii="Times New Roman" w:hAnsi="Times New Roman"/>
      <w:lang w:val="es-ES"/>
    </w:rPr>
  </w:style>
  <w:style w:type="character" w:styleId="SangradetextonormalCar" w:customStyle="1">
    <w:name w:val="Sangría de texto normal Car"/>
    <w:rPr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paragraph" w:styleId="Textoindependiente">
    <w:name w:val="Body Text"/>
    <w:basedOn w:val="Normal"/>
    <w:pPr>
      <w:spacing w:after="120"/>
    </w:pPr>
    <w:rPr>
      <w:rFonts w:ascii="Times New Roman" w:hAnsi="Times New Roman"/>
      <w:lang w:eastAsia="en-US" w:val="en-US"/>
    </w:rPr>
  </w:style>
  <w:style w:type="character" w:styleId="TextoindependienteCar" w:customStyle="1">
    <w:name w:val="Texto independiente Car"/>
    <w:rPr>
      <w:w w:val="100"/>
      <w:position w:val="-1"/>
      <w:sz w:val="24"/>
      <w:szCs w:val="24"/>
      <w:effect w:val="none"/>
      <w:vertAlign w:val="baseline"/>
      <w:cs w:val="0"/>
      <w:em w:val="none"/>
      <w:lang w:eastAsia="en-US" w:val="en-US"/>
    </w:rPr>
  </w:style>
  <w:style w:type="paragraph" w:styleId="Prrafodelista">
    <w:name w:val="List Paragraph"/>
    <w:basedOn w:val="Normal"/>
    <w:pPr>
      <w:ind w:left="708"/>
    </w:pPr>
    <w:rPr>
      <w:rFonts w:ascii="Times New Roman" w:hAnsi="Times New Roman"/>
      <w:lang w:eastAsia="en-US" w:val="en-US"/>
    </w:rPr>
  </w:style>
  <w:style w:type="character" w:styleId="PiedepginaCar" w:customStyle="1">
    <w:name w:val="Pie de página Car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eastAsia="es-ES" w:val="pt-BR"/>
    </w:rPr>
  </w:style>
  <w:style w:type="paragraph" w:styleId="Textodeglobo">
    <w:name w:val="Balloon Text"/>
    <w:basedOn w:val="Normal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s-ES" w:val="pt-BR"/>
    </w:rPr>
  </w:style>
  <w:style w:type="paragraph" w:styleId="TIT2" w:customStyle="1">
    <w:name w:val="TIT 2"/>
    <w:basedOn w:val="Ttulo"/>
    <w:pPr>
      <w:widowControl w:val="0"/>
      <w:suppressAutoHyphens w:val="0"/>
      <w:autoSpaceDE w:val="0"/>
      <w:spacing w:after="20" w:before="20"/>
      <w:outlineLvl w:val="9"/>
    </w:pPr>
    <w:rPr>
      <w:rFonts w:ascii="Times New Roman" w:hAnsi="Times New Roman"/>
      <w:bCs w:val="0"/>
      <w:kern w:val="1"/>
      <w:sz w:val="24"/>
      <w:szCs w:val="20"/>
      <w:lang w:eastAsia="ar-SA"/>
    </w:rPr>
  </w:style>
  <w:style w:type="paragraph" w:styleId="NormalWeb">
    <w:name w:val="Normal (Web)"/>
    <w:basedOn w:val="Normal"/>
    <w:pPr>
      <w:spacing w:after="280" w:before="280"/>
    </w:pPr>
    <w:rPr>
      <w:rFonts w:ascii="Times New Roman" w:hAnsi="Times New Roman"/>
      <w:sz w:val="20"/>
      <w:lang w:eastAsia="en-US" w:val="en-US"/>
    </w:rPr>
  </w:style>
  <w:style w:type="table" w:styleId="Tablaconcuadrcula">
    <w:name w:val="Table Grid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lang w:eastAsia="en-US"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Car" w:customStyle="1">
    <w:name w:val="Título Car"/>
    <w:rPr>
      <w:rFonts w:ascii="Cambria" w:cs="Times New Roman" w:eastAsia="Times New Roman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es-ES" w:val="pt-BR"/>
    </w:rPr>
  </w:style>
  <w:style w:type="character" w:styleId="EncabezadoCar" w:customStyle="1">
    <w:name w:val="Encabezado Car"/>
    <w:rPr>
      <w:rFonts w:ascii="Arial" w:hAnsi="Arial"/>
      <w:snapToGrid w:val="1"/>
      <w:w w:val="100"/>
      <w:position w:val="-1"/>
      <w:sz w:val="24"/>
      <w:effect w:val="none"/>
      <w:vertAlign w:val="baseline"/>
      <w:cs w:val="0"/>
      <w:em w:val="none"/>
      <w:lang w:eastAsia="es-ES" w:val="es-ES"/>
    </w:rPr>
  </w:style>
  <w:style w:type="numbering" w:styleId="Sinlista1" w:customStyle="1">
    <w:name w:val="Sin lista1"/>
    <w:next w:val="Sinlista"/>
    <w:qFormat w:val="1"/>
  </w:style>
  <w:style w:type="table" w:styleId="Tablaconcuadrcula1" w:customStyle="1">
    <w:name w:val="Tabla con cuadrícula1"/>
    <w:basedOn w:val="Tablanormal"/>
    <w:next w:val="Tablaconcuadrcula"/>
    <w:pPr>
      <w:widowControl w:val="0"/>
      <w:suppressAutoHyphens w:val="1"/>
      <w:overflowPunct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hAnsi="Calibri"/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stiloBookAntiquaJustificadoDespus6pto" w:customStyle="1">
    <w:name w:val="Estilo Book Antiqua Justificado Después:  6 pto"/>
    <w:basedOn w:val="Normal"/>
    <w:pPr>
      <w:spacing w:after="60" w:before="60" w:line="300" w:lineRule="auto"/>
      <w:jc w:val="both"/>
    </w:pPr>
    <w:rPr>
      <w:rFonts w:ascii="Book Antiqua" w:hAnsi="Book Antiqua"/>
      <w:lang w:val="es-ES"/>
    </w:rPr>
  </w:style>
  <w:style w:type="paragraph" w:styleId="ListParagraph1" w:customStyle="1">
    <w:name w:val="List Paragraph1"/>
    <w:basedOn w:val="Normal"/>
    <w:pPr>
      <w:suppressAutoHyphens w:val="0"/>
      <w:jc w:val="both"/>
    </w:pPr>
    <w:rPr>
      <w:rFonts w:ascii="Times New Roman" w:hAnsi="Times New Roman"/>
      <w:kern w:val="1"/>
      <w:lang w:eastAsia="ar-SA" w:val="es-ES"/>
    </w:rPr>
  </w:style>
  <w:style w:type="character" w:styleId="Ttulo1Car" w:customStyle="1">
    <w:name w:val="Título 1 Car"/>
    <w:rPr>
      <w:rFonts w:ascii="Monotype Corsiva" w:hAnsi="Monotype Corsiva"/>
      <w:b w:val="1"/>
      <w:snapToGrid w:val="1"/>
      <w:w w:val="100"/>
      <w:position w:val="-1"/>
      <w:sz w:val="28"/>
      <w:effect w:val="none"/>
      <w:vertAlign w:val="baseline"/>
      <w:cs w:val="0"/>
      <w:em w:val="none"/>
      <w:lang w:eastAsia="es-ES" w:val="es-MX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lang w:eastAsia="es-UY" w:val="es-UY"/>
    </w:rPr>
  </w:style>
  <w:style w:type="character" w:styleId="Mencinsinresolver" w:customStyle="1">
    <w:name w:val="Mención sin resolver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table" w:styleId="Tablaconcuadrcula2" w:customStyle="1">
    <w:name w:val="Tabla con cuadrícula2"/>
    <w:basedOn w:val="Tablanormal"/>
    <w:next w:val="Tablaconcuadrcula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s-AR" w:val="es-A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ntinuarlista">
    <w:name w:val="List Continue"/>
    <w:basedOn w:val="Normal"/>
    <w:qFormat w:val="1"/>
    <w:pPr>
      <w:spacing w:after="120" w:line="259" w:lineRule="auto"/>
      <w:ind w:left="283"/>
      <w:contextualSpacing w:val="1"/>
    </w:pPr>
    <w:rPr>
      <w:rFonts w:ascii="Calibri" w:cs="Times New Roman" w:eastAsia="Calibri" w:hAnsi="Calibri"/>
      <w:sz w:val="22"/>
      <w:szCs w:val="22"/>
      <w:lang w:eastAsia="en-US" w:val="en-US"/>
    </w:rPr>
  </w:style>
  <w:style w:type="character" w:styleId="nfasis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RSjyROAvp+WS9iPKzJTzgE7izQ==">AMUW2mU0xqqaZQ01kvPGl5uEwgygXqTpp5HAXAac2Mjmu8aMPnyaorEJiqiI6RRJ3q/9RprdWvu884a7Alujnhmc1oVk+P10sfJb6fEJQCLnVB0ZMDU6LhLpeWqO3ndq1KK/7D9xTfibGQU3mPwgHPedLs3gUUha+6hFOzliDVu/y1RQrTvm6r8=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2023-04-24T16:41:00Z</dcterms:created>
  <dc:creator>Informatica</dc:creator>
</cp:coreProperties>
</file>