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C132EC" w14:textId="77777777" w:rsidR="008300F3" w:rsidRPr="003D6EED" w:rsidRDefault="00DA40A7">
      <w:pPr>
        <w:jc w:val="both"/>
        <w:rPr>
          <w:b/>
          <w:szCs w:val="24"/>
          <w:lang w:val="es-UY"/>
        </w:rPr>
      </w:pPr>
      <w:r w:rsidRPr="003D6EED">
        <w:rPr>
          <w:noProof/>
          <w:szCs w:val="24"/>
        </w:rPr>
        <w:drawing>
          <wp:inline distT="0" distB="0" distL="0" distR="0" wp14:anchorId="5631BD0A" wp14:editId="4D2E0086">
            <wp:extent cx="1203325" cy="764540"/>
            <wp:effectExtent l="0" t="0" r="0" b="0"/>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325" cy="764540"/>
                    </a:xfrm>
                    <a:prstGeom prst="rect">
                      <a:avLst/>
                    </a:prstGeom>
                    <a:solidFill>
                      <a:srgbClr val="FFFFFF"/>
                    </a:solidFill>
                    <a:ln>
                      <a:noFill/>
                    </a:ln>
                  </pic:spPr>
                </pic:pic>
              </a:graphicData>
            </a:graphic>
          </wp:inline>
        </w:drawing>
      </w:r>
      <w:r w:rsidR="008300F3" w:rsidRPr="003D6EED">
        <w:rPr>
          <w:szCs w:val="24"/>
          <w:lang w:val="es-UY"/>
        </w:rPr>
        <w:t xml:space="preserve">                                                                      </w:t>
      </w:r>
      <w:r w:rsidRPr="003D6EED">
        <w:rPr>
          <w:rFonts w:eastAsia="Arial"/>
          <w:b/>
          <w:noProof/>
          <w:szCs w:val="24"/>
          <w:lang w:val="es-UY"/>
        </w:rPr>
        <w:drawing>
          <wp:inline distT="0" distB="0" distL="0" distR="0" wp14:anchorId="78D6F0FD" wp14:editId="68E811B8">
            <wp:extent cx="1144270" cy="727075"/>
            <wp:effectExtent l="0" t="0" r="0" b="0"/>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270" cy="727075"/>
                    </a:xfrm>
                    <a:prstGeom prst="rect">
                      <a:avLst/>
                    </a:prstGeom>
                    <a:solidFill>
                      <a:srgbClr val="FFFFFF"/>
                    </a:solidFill>
                    <a:ln>
                      <a:noFill/>
                    </a:ln>
                  </pic:spPr>
                </pic:pic>
              </a:graphicData>
            </a:graphic>
          </wp:inline>
        </w:drawing>
      </w:r>
    </w:p>
    <w:p w14:paraId="65CB5CED" w14:textId="77777777" w:rsidR="008300F3" w:rsidRPr="003D6EED" w:rsidRDefault="008300F3">
      <w:pPr>
        <w:keepNext/>
        <w:tabs>
          <w:tab w:val="left" w:pos="0"/>
        </w:tabs>
        <w:jc w:val="both"/>
        <w:rPr>
          <w:b/>
          <w:szCs w:val="24"/>
          <w:lang w:val="es-UY"/>
        </w:rPr>
      </w:pPr>
    </w:p>
    <w:p w14:paraId="45B8DE18" w14:textId="77777777" w:rsidR="008300F3" w:rsidRPr="003D6EED" w:rsidRDefault="008300F3">
      <w:pPr>
        <w:keepNext/>
        <w:tabs>
          <w:tab w:val="left" w:pos="0"/>
        </w:tabs>
        <w:jc w:val="both"/>
        <w:rPr>
          <w:b/>
          <w:szCs w:val="24"/>
          <w:lang w:val="es-UY"/>
        </w:rPr>
      </w:pPr>
    </w:p>
    <w:p w14:paraId="602D0B12" w14:textId="77777777" w:rsidR="008300F3" w:rsidRPr="003D6EED" w:rsidRDefault="008300F3">
      <w:pPr>
        <w:keepNext/>
        <w:tabs>
          <w:tab w:val="left" w:pos="0"/>
        </w:tabs>
        <w:jc w:val="both"/>
        <w:rPr>
          <w:b/>
          <w:bCs/>
          <w:szCs w:val="24"/>
          <w:lang w:val="es-UY"/>
        </w:rPr>
      </w:pPr>
      <w:r w:rsidRPr="003D6EED">
        <w:rPr>
          <w:b/>
          <w:szCs w:val="24"/>
          <w:lang w:val="es-UY"/>
        </w:rPr>
        <w:t xml:space="preserve">MERCOSUR/FCCP/ACTA </w:t>
      </w:r>
      <w:proofErr w:type="spellStart"/>
      <w:r w:rsidRPr="003D6EED">
        <w:rPr>
          <w:b/>
          <w:szCs w:val="24"/>
          <w:lang w:val="es-UY"/>
        </w:rPr>
        <w:t>N°</w:t>
      </w:r>
      <w:proofErr w:type="spellEnd"/>
      <w:r w:rsidRPr="003D6EED">
        <w:rPr>
          <w:b/>
          <w:szCs w:val="24"/>
          <w:lang w:val="es-UY"/>
        </w:rPr>
        <w:t xml:space="preserve"> 03/21-AMPLIADO</w:t>
      </w:r>
    </w:p>
    <w:p w14:paraId="3B0E8EE6" w14:textId="77777777" w:rsidR="008300F3" w:rsidRPr="003D6EED" w:rsidRDefault="008300F3">
      <w:pPr>
        <w:autoSpaceDE w:val="0"/>
        <w:rPr>
          <w:b/>
          <w:bCs/>
          <w:szCs w:val="24"/>
          <w:lang w:val="es-UY"/>
        </w:rPr>
      </w:pPr>
    </w:p>
    <w:p w14:paraId="388CF3D5" w14:textId="77777777" w:rsidR="008300F3" w:rsidRPr="003D6EED" w:rsidRDefault="008300F3">
      <w:pPr>
        <w:autoSpaceDE w:val="0"/>
        <w:jc w:val="center"/>
        <w:rPr>
          <w:b/>
          <w:bCs/>
          <w:szCs w:val="24"/>
          <w:lang w:val="es-UY"/>
        </w:rPr>
      </w:pPr>
    </w:p>
    <w:p w14:paraId="127309E6" w14:textId="77777777" w:rsidR="008300F3" w:rsidRPr="003D6EED" w:rsidRDefault="008300F3">
      <w:pPr>
        <w:autoSpaceDE w:val="0"/>
        <w:jc w:val="center"/>
        <w:rPr>
          <w:szCs w:val="24"/>
          <w:lang w:val="es-ES"/>
        </w:rPr>
      </w:pPr>
      <w:bookmarkStart w:id="0" w:name="_Hlk65485537"/>
      <w:r w:rsidRPr="003D6EED">
        <w:rPr>
          <w:b/>
          <w:bCs/>
          <w:szCs w:val="24"/>
          <w:lang w:val="es-PY"/>
        </w:rPr>
        <w:t>XCIX</w:t>
      </w:r>
      <w:r w:rsidRPr="003D6EED">
        <w:rPr>
          <w:b/>
          <w:bCs/>
          <w:szCs w:val="24"/>
          <w:lang w:val="es-ES"/>
        </w:rPr>
        <w:t xml:space="preserve"> REUNIÓN ORDINARIA DEL FORO DE CONSULTA Y CONCERTACIÓN POLÍTICA- (FCCP)</w:t>
      </w:r>
    </w:p>
    <w:bookmarkEnd w:id="0"/>
    <w:p w14:paraId="624F7606" w14:textId="77777777" w:rsidR="008300F3" w:rsidRPr="003D6EED" w:rsidRDefault="008300F3">
      <w:pPr>
        <w:jc w:val="both"/>
        <w:rPr>
          <w:szCs w:val="24"/>
          <w:lang w:val="es-ES"/>
        </w:rPr>
      </w:pPr>
    </w:p>
    <w:p w14:paraId="1D6FAA3C" w14:textId="77777777" w:rsidR="008300F3" w:rsidRPr="003D6EED" w:rsidRDefault="008300F3">
      <w:pPr>
        <w:widowControl w:val="0"/>
        <w:autoSpaceDE w:val="0"/>
        <w:jc w:val="both"/>
        <w:rPr>
          <w:szCs w:val="24"/>
          <w:lang w:val="es-UY"/>
        </w:rPr>
      </w:pPr>
      <w:r w:rsidRPr="003D6EED">
        <w:rPr>
          <w:color w:val="000000"/>
          <w:szCs w:val="24"/>
          <w:lang w:val="es-ES_tradnl"/>
        </w:rPr>
        <w:t>Se realizó el día 6</w:t>
      </w:r>
      <w:r w:rsidRPr="003D6EED">
        <w:rPr>
          <w:szCs w:val="24"/>
          <w:lang w:val="es-ES_tradnl"/>
        </w:rPr>
        <w:t xml:space="preserve"> de mayo de 2021</w:t>
      </w:r>
      <w:r w:rsidRPr="003D6EED">
        <w:rPr>
          <w:color w:val="000000"/>
          <w:szCs w:val="24"/>
          <w:lang w:val="es-ES_tradnl"/>
        </w:rPr>
        <w:t>, e</w:t>
      </w:r>
      <w:r w:rsidRPr="003D6EED">
        <w:rPr>
          <w:szCs w:val="24"/>
          <w:lang w:val="es-ES_tradnl"/>
        </w:rPr>
        <w:t xml:space="preserve">n ejercicio de la Presidencia </w:t>
      </w:r>
      <w:r w:rsidRPr="003D6EED">
        <w:rPr>
          <w:i/>
          <w:szCs w:val="24"/>
          <w:lang w:val="es-ES_tradnl"/>
        </w:rPr>
        <w:t>Pro Tempore</w:t>
      </w:r>
      <w:r w:rsidRPr="003D6EED">
        <w:rPr>
          <w:szCs w:val="24"/>
          <w:lang w:val="es-ES_tradnl"/>
        </w:rPr>
        <w:t xml:space="preserve"> de Argentina (PPTA), </w:t>
      </w:r>
      <w:r w:rsidRPr="003D6EED">
        <w:rPr>
          <w:rFonts w:eastAsia="Arial"/>
          <w:szCs w:val="24"/>
          <w:lang w:val="es-UY"/>
        </w:rPr>
        <w:t>la</w:t>
      </w:r>
      <w:r w:rsidRPr="003D6EED">
        <w:rPr>
          <w:bCs/>
          <w:szCs w:val="24"/>
          <w:lang w:val="es-ES"/>
        </w:rPr>
        <w:t xml:space="preserve"> XCIX Reunión Ordinaria del Foro de Consulta y Concertación Política (FCCP) </w:t>
      </w:r>
      <w:r w:rsidRPr="003D6EED">
        <w:rPr>
          <w:szCs w:val="24"/>
          <w:lang w:val="es-ES_tradnl"/>
        </w:rPr>
        <w:t xml:space="preserve">por sistema de videoconferencia de conformidad con lo dispuesto en la Resolución GMC </w:t>
      </w:r>
      <w:proofErr w:type="spellStart"/>
      <w:r w:rsidRPr="003D6EED">
        <w:rPr>
          <w:szCs w:val="24"/>
          <w:lang w:val="es-ES_tradnl"/>
        </w:rPr>
        <w:t>N°</w:t>
      </w:r>
      <w:proofErr w:type="spellEnd"/>
      <w:r w:rsidRPr="003D6EED">
        <w:rPr>
          <w:szCs w:val="24"/>
          <w:lang w:val="es-ES_tradnl"/>
        </w:rPr>
        <w:t xml:space="preserve"> 19/12, con la presencia de las delegaciones de Argentina, Brasil, Paraguay y Uruguay.</w:t>
      </w:r>
      <w:bookmarkStart w:id="1" w:name="_Hlk69112381"/>
      <w:r w:rsidRPr="003D6EED">
        <w:rPr>
          <w:szCs w:val="24"/>
          <w:lang w:val="es-ES_tradnl"/>
        </w:rPr>
        <w:t xml:space="preserve"> </w:t>
      </w:r>
      <w:bookmarkEnd w:id="1"/>
      <w:r w:rsidRPr="003D6EED">
        <w:rPr>
          <w:szCs w:val="24"/>
          <w:lang w:val="es-UY"/>
        </w:rPr>
        <w:t xml:space="preserve">La Delegación de Bolivia participó de conformidad con lo establecido en la Decisión CMC </w:t>
      </w:r>
      <w:proofErr w:type="spellStart"/>
      <w:r w:rsidRPr="003D6EED">
        <w:rPr>
          <w:szCs w:val="24"/>
          <w:lang w:val="es-UY"/>
        </w:rPr>
        <w:t>Nº</w:t>
      </w:r>
      <w:proofErr w:type="spellEnd"/>
      <w:r w:rsidRPr="003D6EED">
        <w:rPr>
          <w:szCs w:val="24"/>
          <w:lang w:val="es-UY"/>
        </w:rPr>
        <w:t xml:space="preserve"> 13/15. </w:t>
      </w:r>
    </w:p>
    <w:p w14:paraId="5FE28268" w14:textId="77777777" w:rsidR="008300F3" w:rsidRPr="003D6EED" w:rsidRDefault="008300F3">
      <w:pPr>
        <w:jc w:val="both"/>
        <w:rPr>
          <w:szCs w:val="24"/>
          <w:lang w:val="es-UY"/>
        </w:rPr>
      </w:pPr>
    </w:p>
    <w:p w14:paraId="0FB1BBFB" w14:textId="77777777" w:rsidR="008300F3" w:rsidRPr="003D6EED" w:rsidRDefault="008300F3">
      <w:pPr>
        <w:jc w:val="both"/>
        <w:rPr>
          <w:bCs/>
          <w:szCs w:val="24"/>
          <w:lang w:val="es-UY"/>
        </w:rPr>
      </w:pPr>
      <w:r w:rsidRPr="003D6EED">
        <w:rPr>
          <w:rFonts w:eastAsia="Lucida Sans Unicode"/>
          <w:bCs/>
          <w:szCs w:val="24"/>
          <w:lang w:val="es-ES_tradnl"/>
        </w:rPr>
        <w:t xml:space="preserve">Las Delegaciones de Colombia, Chile, Ecuador, Guyana y Perú participaron en los términos de la Decisión CMC </w:t>
      </w:r>
      <w:proofErr w:type="spellStart"/>
      <w:r w:rsidRPr="003D6EED">
        <w:rPr>
          <w:rFonts w:eastAsia="Lucida Sans Unicode"/>
          <w:bCs/>
          <w:szCs w:val="24"/>
          <w:lang w:val="es-ES_tradnl"/>
        </w:rPr>
        <w:t>N°</w:t>
      </w:r>
      <w:proofErr w:type="spellEnd"/>
      <w:r w:rsidRPr="003D6EED">
        <w:rPr>
          <w:rFonts w:eastAsia="Lucida Sans Unicode"/>
          <w:bCs/>
          <w:szCs w:val="24"/>
          <w:lang w:val="es-ES_tradnl"/>
        </w:rPr>
        <w:t xml:space="preserve"> 18/04</w:t>
      </w:r>
      <w:r w:rsidRPr="003D6EED">
        <w:rPr>
          <w:rFonts w:eastAsia="Arial"/>
          <w:szCs w:val="24"/>
          <w:lang w:val="es-UY"/>
        </w:rPr>
        <w:t xml:space="preserve"> “Régimen de Participación de los Estados Asociados al MERCOSUR”</w:t>
      </w:r>
      <w:r w:rsidRPr="003D6EED">
        <w:rPr>
          <w:rFonts w:eastAsia="Arial"/>
          <w:color w:val="000000"/>
          <w:szCs w:val="24"/>
          <w:lang w:val="es-UY"/>
        </w:rPr>
        <w:t xml:space="preserve"> y manifestaron su conformidad con relación al Acta de la XCIX Reunión Ordinaria del FCCP.</w:t>
      </w:r>
    </w:p>
    <w:p w14:paraId="30854AC0" w14:textId="77777777" w:rsidR="008300F3" w:rsidRPr="003D6EED" w:rsidRDefault="008300F3">
      <w:pPr>
        <w:jc w:val="both"/>
        <w:rPr>
          <w:bCs/>
          <w:szCs w:val="24"/>
          <w:lang w:val="es-UY"/>
        </w:rPr>
      </w:pPr>
    </w:p>
    <w:p w14:paraId="049174EE" w14:textId="77777777" w:rsidR="008300F3" w:rsidRPr="003D6EED" w:rsidRDefault="008300F3">
      <w:pPr>
        <w:jc w:val="both"/>
        <w:rPr>
          <w:szCs w:val="24"/>
          <w:lang w:val="es-UY"/>
        </w:rPr>
      </w:pPr>
      <w:r w:rsidRPr="003D6EED">
        <w:rPr>
          <w:bCs/>
          <w:szCs w:val="24"/>
          <w:lang w:val="es-UY"/>
        </w:rPr>
        <w:t xml:space="preserve">El Coordinador Nacional del FCCP de Argentina, </w:t>
      </w:r>
      <w:r w:rsidRPr="003D6EED">
        <w:rPr>
          <w:szCs w:val="24"/>
          <w:lang w:val="es-UY"/>
        </w:rPr>
        <w:t xml:space="preserve">en calidad de Presidencia </w:t>
      </w:r>
      <w:r w:rsidRPr="003D6EED">
        <w:rPr>
          <w:i/>
          <w:szCs w:val="24"/>
          <w:lang w:val="es-UY"/>
        </w:rPr>
        <w:t>Pro Tempore</w:t>
      </w:r>
      <w:r w:rsidRPr="003D6EED">
        <w:rPr>
          <w:szCs w:val="24"/>
          <w:lang w:val="es-UY"/>
        </w:rPr>
        <w:t xml:space="preserve">, </w:t>
      </w:r>
      <w:proofErr w:type="gramStart"/>
      <w:r w:rsidRPr="003D6EED">
        <w:rPr>
          <w:szCs w:val="24"/>
          <w:lang w:val="es-UY"/>
        </w:rPr>
        <w:t>dio inicio a</w:t>
      </w:r>
      <w:proofErr w:type="gramEnd"/>
      <w:r w:rsidRPr="003D6EED">
        <w:rPr>
          <w:szCs w:val="24"/>
          <w:lang w:val="es-UY"/>
        </w:rPr>
        <w:t xml:space="preserve"> la reunión dando la bienvenida a las delegaciones y puso a consideración la agenda que fue aprobada.</w:t>
      </w:r>
    </w:p>
    <w:p w14:paraId="5B3F8562" w14:textId="77777777" w:rsidR="008300F3" w:rsidRPr="003D6EED" w:rsidRDefault="008300F3">
      <w:pPr>
        <w:jc w:val="both"/>
        <w:rPr>
          <w:szCs w:val="24"/>
          <w:lang w:val="es-UY"/>
        </w:rPr>
      </w:pPr>
    </w:p>
    <w:p w14:paraId="2EECDFE9" w14:textId="77777777" w:rsidR="008300F3" w:rsidRPr="003D6EED" w:rsidRDefault="008300F3">
      <w:pPr>
        <w:autoSpaceDE w:val="0"/>
        <w:jc w:val="both"/>
        <w:rPr>
          <w:szCs w:val="24"/>
          <w:lang w:val="es-UY"/>
        </w:rPr>
      </w:pPr>
    </w:p>
    <w:p w14:paraId="5056C948" w14:textId="77777777" w:rsidR="008300F3" w:rsidRPr="003D6EED" w:rsidRDefault="008300F3">
      <w:pPr>
        <w:overflowPunct w:val="0"/>
        <w:autoSpaceDE w:val="0"/>
        <w:jc w:val="both"/>
        <w:textAlignment w:val="baseline"/>
        <w:rPr>
          <w:szCs w:val="24"/>
          <w:lang w:val="es-MX"/>
        </w:rPr>
      </w:pPr>
      <w:r w:rsidRPr="003D6EED">
        <w:rPr>
          <w:szCs w:val="24"/>
          <w:lang w:val="es-MX"/>
        </w:rPr>
        <w:t xml:space="preserve">La Lista de Participantes consta como </w:t>
      </w:r>
      <w:r w:rsidRPr="003D6EED">
        <w:rPr>
          <w:b/>
          <w:szCs w:val="24"/>
          <w:lang w:val="es-MX"/>
        </w:rPr>
        <w:t>Anexo I</w:t>
      </w:r>
      <w:r w:rsidRPr="003D6EED">
        <w:rPr>
          <w:szCs w:val="24"/>
          <w:lang w:val="es-MX"/>
        </w:rPr>
        <w:t>.</w:t>
      </w:r>
    </w:p>
    <w:p w14:paraId="2C74AE9E" w14:textId="77777777" w:rsidR="008300F3" w:rsidRPr="003D6EED" w:rsidRDefault="008300F3">
      <w:pPr>
        <w:overflowPunct w:val="0"/>
        <w:autoSpaceDE w:val="0"/>
        <w:jc w:val="both"/>
        <w:textAlignment w:val="baseline"/>
        <w:rPr>
          <w:szCs w:val="24"/>
          <w:lang w:val="es-MX"/>
        </w:rPr>
      </w:pPr>
    </w:p>
    <w:p w14:paraId="135BA69D" w14:textId="77777777" w:rsidR="008300F3" w:rsidRPr="003D6EED" w:rsidRDefault="008300F3">
      <w:pPr>
        <w:overflowPunct w:val="0"/>
        <w:autoSpaceDE w:val="0"/>
        <w:jc w:val="both"/>
        <w:textAlignment w:val="baseline"/>
        <w:rPr>
          <w:szCs w:val="24"/>
          <w:lang w:val="es-MX"/>
        </w:rPr>
      </w:pPr>
      <w:r w:rsidRPr="003D6EED">
        <w:rPr>
          <w:szCs w:val="24"/>
          <w:lang w:val="es-MX"/>
        </w:rPr>
        <w:t xml:space="preserve">La Agenda aprobada consta como </w:t>
      </w:r>
      <w:r w:rsidRPr="003D6EED">
        <w:rPr>
          <w:b/>
          <w:szCs w:val="24"/>
          <w:lang w:val="es-MX"/>
        </w:rPr>
        <w:t>Anexo II</w:t>
      </w:r>
      <w:r w:rsidRPr="003D6EED">
        <w:rPr>
          <w:szCs w:val="24"/>
          <w:lang w:val="es-MX"/>
        </w:rPr>
        <w:t>.</w:t>
      </w:r>
    </w:p>
    <w:p w14:paraId="3E1385E4" w14:textId="77777777" w:rsidR="008300F3" w:rsidRPr="003D6EED" w:rsidRDefault="008300F3">
      <w:pPr>
        <w:overflowPunct w:val="0"/>
        <w:autoSpaceDE w:val="0"/>
        <w:jc w:val="both"/>
        <w:textAlignment w:val="baseline"/>
        <w:rPr>
          <w:szCs w:val="24"/>
          <w:lang w:val="es-MX"/>
        </w:rPr>
      </w:pPr>
    </w:p>
    <w:p w14:paraId="0E043FCB" w14:textId="77777777" w:rsidR="008300F3" w:rsidRPr="003D6EED" w:rsidRDefault="008300F3">
      <w:pPr>
        <w:overflowPunct w:val="0"/>
        <w:autoSpaceDE w:val="0"/>
        <w:jc w:val="both"/>
        <w:textAlignment w:val="baseline"/>
        <w:rPr>
          <w:szCs w:val="24"/>
          <w:lang w:val="es-MX"/>
        </w:rPr>
      </w:pPr>
      <w:r w:rsidRPr="003D6EED">
        <w:rPr>
          <w:szCs w:val="24"/>
          <w:lang w:val="es-MX"/>
        </w:rPr>
        <w:t xml:space="preserve">El Resumen del Acta consta como </w:t>
      </w:r>
      <w:r w:rsidRPr="003D6EED">
        <w:rPr>
          <w:b/>
          <w:szCs w:val="24"/>
          <w:lang w:val="es-MX"/>
        </w:rPr>
        <w:t>Anexo III</w:t>
      </w:r>
      <w:r w:rsidRPr="003D6EED">
        <w:rPr>
          <w:szCs w:val="24"/>
          <w:lang w:val="es-MX"/>
        </w:rPr>
        <w:t>.</w:t>
      </w:r>
    </w:p>
    <w:p w14:paraId="540FF88E" w14:textId="77777777" w:rsidR="008300F3" w:rsidRPr="003D6EED" w:rsidRDefault="008300F3">
      <w:pPr>
        <w:overflowPunct w:val="0"/>
        <w:autoSpaceDE w:val="0"/>
        <w:jc w:val="both"/>
        <w:textAlignment w:val="baseline"/>
        <w:rPr>
          <w:szCs w:val="24"/>
          <w:lang w:val="es-MX"/>
        </w:rPr>
      </w:pPr>
    </w:p>
    <w:p w14:paraId="03BF4711" w14:textId="77777777" w:rsidR="008300F3" w:rsidRPr="003D6EED" w:rsidRDefault="008300F3">
      <w:pPr>
        <w:overflowPunct w:val="0"/>
        <w:autoSpaceDE w:val="0"/>
        <w:jc w:val="both"/>
        <w:textAlignment w:val="baseline"/>
        <w:rPr>
          <w:rFonts w:eastAsia="Calibri"/>
          <w:b/>
          <w:bCs/>
          <w:szCs w:val="24"/>
          <w:lang w:val="es-UY"/>
        </w:rPr>
      </w:pPr>
      <w:r w:rsidRPr="003D6EED">
        <w:rPr>
          <w:szCs w:val="24"/>
          <w:lang w:val="es-MX"/>
        </w:rPr>
        <w:t>Fueron tratados los siguientes temas:</w:t>
      </w:r>
    </w:p>
    <w:p w14:paraId="53C0648E" w14:textId="77777777" w:rsidR="008D6583" w:rsidRPr="003D6EED" w:rsidRDefault="008D6583">
      <w:pPr>
        <w:spacing w:after="160"/>
        <w:rPr>
          <w:rFonts w:eastAsia="Calibri"/>
          <w:b/>
          <w:bCs/>
          <w:szCs w:val="24"/>
          <w:lang w:val="es-UY"/>
        </w:rPr>
      </w:pPr>
    </w:p>
    <w:p w14:paraId="16DE87A3" w14:textId="77777777" w:rsidR="008300F3" w:rsidRPr="003D6EED" w:rsidRDefault="008300F3" w:rsidP="00151BC3">
      <w:pPr>
        <w:numPr>
          <w:ilvl w:val="0"/>
          <w:numId w:val="2"/>
        </w:numPr>
        <w:spacing w:after="160"/>
        <w:jc w:val="both"/>
        <w:rPr>
          <w:szCs w:val="24"/>
          <w:lang w:val="es-UY"/>
        </w:rPr>
      </w:pPr>
      <w:r w:rsidRPr="003D6EED">
        <w:rPr>
          <w:rFonts w:eastAsia="Calibri"/>
          <w:b/>
          <w:bCs/>
          <w:szCs w:val="24"/>
          <w:lang w:val="es-UY"/>
        </w:rPr>
        <w:t xml:space="preserve">RESEÑA DE LA PPTA SOBRE DE LAS ACCIONES QUE SE HAN VENIDO DESARROLLANDO EN CONMEMORACIÓN DE LOS 30 AÑOS DE LA FIRMA DEL TRATADO DE ASUNCIÓN. </w:t>
      </w:r>
    </w:p>
    <w:p w14:paraId="720628D7" w14:textId="77777777" w:rsidR="008300F3" w:rsidRPr="003D6EED" w:rsidRDefault="008300F3">
      <w:pPr>
        <w:rPr>
          <w:szCs w:val="24"/>
          <w:lang w:val="es-UY"/>
        </w:rPr>
      </w:pPr>
    </w:p>
    <w:p w14:paraId="7159BBE2" w14:textId="2B802070" w:rsidR="008D6583" w:rsidRPr="003D6EED" w:rsidRDefault="008300F3">
      <w:pPr>
        <w:jc w:val="both"/>
        <w:rPr>
          <w:szCs w:val="24"/>
          <w:lang w:val="es-UY"/>
        </w:rPr>
      </w:pPr>
      <w:r w:rsidRPr="003D6EED">
        <w:rPr>
          <w:szCs w:val="24"/>
          <w:lang w:val="es-UY"/>
        </w:rPr>
        <w:t xml:space="preserve">La PPTA </w:t>
      </w:r>
      <w:r w:rsidR="00151BC3" w:rsidRPr="003D6EED">
        <w:rPr>
          <w:szCs w:val="24"/>
          <w:lang w:val="es-UY"/>
        </w:rPr>
        <w:t xml:space="preserve">manifestó que </w:t>
      </w:r>
      <w:r w:rsidR="008D6583" w:rsidRPr="003D6EED">
        <w:rPr>
          <w:szCs w:val="24"/>
          <w:lang w:val="es-UY"/>
        </w:rPr>
        <w:t xml:space="preserve">ha puesto </w:t>
      </w:r>
      <w:r w:rsidRPr="003D6EED">
        <w:rPr>
          <w:szCs w:val="24"/>
          <w:lang w:val="es-UY"/>
        </w:rPr>
        <w:t xml:space="preserve">especial énfasis en fortalecer la dimensión política y social del MERCOSUR, en tanto espacio de diálogo y concertación de la agenda de desarrollo social, educativa, de derechos humanos, cultural, migratoria, de circulación de personas, de integración fronteriza y cooperación judicial, particularmente en el actual </w:t>
      </w:r>
      <w:r w:rsidR="00A7762B" w:rsidRPr="003D6EED">
        <w:rPr>
          <w:szCs w:val="24"/>
          <w:lang w:val="es-UY"/>
        </w:rPr>
        <w:t xml:space="preserve">contexto de </w:t>
      </w:r>
      <w:r w:rsidR="000C7645" w:rsidRPr="003D6EED">
        <w:rPr>
          <w:szCs w:val="24"/>
          <w:lang w:val="es-UY"/>
        </w:rPr>
        <w:t xml:space="preserve">Pandemia por </w:t>
      </w:r>
      <w:r w:rsidRPr="003D6EED">
        <w:rPr>
          <w:szCs w:val="24"/>
          <w:lang w:val="es-UY"/>
        </w:rPr>
        <w:t xml:space="preserve">el </w:t>
      </w:r>
      <w:r w:rsidR="00151BC3" w:rsidRPr="003D6EED">
        <w:rPr>
          <w:szCs w:val="24"/>
          <w:lang w:val="es-UY"/>
        </w:rPr>
        <w:t xml:space="preserve">COVID </w:t>
      </w:r>
      <w:r w:rsidRPr="003D6EED">
        <w:rPr>
          <w:szCs w:val="24"/>
          <w:lang w:val="es-UY"/>
        </w:rPr>
        <w:t>19 e</w:t>
      </w:r>
      <w:r w:rsidR="00F21FFB" w:rsidRPr="003D6EED">
        <w:rPr>
          <w:szCs w:val="24"/>
          <w:lang w:val="es-UY"/>
        </w:rPr>
        <w:t>n</w:t>
      </w:r>
      <w:r w:rsidRPr="003D6EED">
        <w:rPr>
          <w:szCs w:val="24"/>
          <w:lang w:val="es-UY"/>
        </w:rPr>
        <w:t xml:space="preserve"> el cual los p</w:t>
      </w:r>
      <w:r w:rsidR="00F21FFB" w:rsidRPr="003D6EED">
        <w:rPr>
          <w:szCs w:val="24"/>
          <w:lang w:val="es-UY"/>
        </w:rPr>
        <w:t xml:space="preserve">aíses de la región  </w:t>
      </w:r>
      <w:r w:rsidR="008D6583" w:rsidRPr="003D6EED">
        <w:rPr>
          <w:szCs w:val="24"/>
          <w:lang w:val="es-UY"/>
        </w:rPr>
        <w:t>deberán afrontar conjuntamente las</w:t>
      </w:r>
      <w:r w:rsidR="00F21FFB" w:rsidRPr="003D6EED">
        <w:rPr>
          <w:szCs w:val="24"/>
          <w:lang w:val="es-UY"/>
        </w:rPr>
        <w:t xml:space="preserve"> </w:t>
      </w:r>
      <w:r w:rsidRPr="003D6EED">
        <w:rPr>
          <w:szCs w:val="24"/>
          <w:lang w:val="es-UY"/>
        </w:rPr>
        <w:t xml:space="preserve">secuelas económicas y </w:t>
      </w:r>
      <w:r w:rsidR="008D6583" w:rsidRPr="003D6EED">
        <w:rPr>
          <w:szCs w:val="24"/>
          <w:lang w:val="es-UY"/>
        </w:rPr>
        <w:t xml:space="preserve">sociales de la Pandemia. </w:t>
      </w:r>
    </w:p>
    <w:p w14:paraId="1A89D001" w14:textId="77777777" w:rsidR="005B38F5" w:rsidRPr="003D6EED" w:rsidRDefault="005B38F5">
      <w:pPr>
        <w:jc w:val="both"/>
        <w:rPr>
          <w:szCs w:val="24"/>
          <w:lang w:val="es-UY"/>
        </w:rPr>
      </w:pPr>
    </w:p>
    <w:p w14:paraId="33FD766E" w14:textId="77777777" w:rsidR="005B38F5" w:rsidRPr="003D6EED" w:rsidRDefault="005B38F5">
      <w:pPr>
        <w:jc w:val="both"/>
        <w:rPr>
          <w:szCs w:val="24"/>
          <w:lang w:val="es-UY"/>
        </w:rPr>
      </w:pPr>
    </w:p>
    <w:p w14:paraId="1DB5190E" w14:textId="097B35AA" w:rsidR="008300F3" w:rsidRPr="003D6EED" w:rsidRDefault="00151BC3">
      <w:pPr>
        <w:autoSpaceDE w:val="0"/>
        <w:jc w:val="both"/>
        <w:rPr>
          <w:szCs w:val="24"/>
          <w:lang w:val="es-UY"/>
        </w:rPr>
      </w:pPr>
      <w:r w:rsidRPr="003D6EED">
        <w:rPr>
          <w:bCs/>
          <w:color w:val="000000"/>
          <w:szCs w:val="24"/>
          <w:lang w:val="es-UY"/>
        </w:rPr>
        <w:t xml:space="preserve">Asimismo, </w:t>
      </w:r>
      <w:r w:rsidR="008300F3" w:rsidRPr="003D6EED">
        <w:rPr>
          <w:bCs/>
          <w:color w:val="000000"/>
          <w:szCs w:val="24"/>
          <w:lang w:val="es-UY"/>
        </w:rPr>
        <w:t xml:space="preserve">realizó una </w:t>
      </w:r>
      <w:bookmarkStart w:id="2" w:name="_Hlk65585559"/>
      <w:r w:rsidR="008300F3" w:rsidRPr="003D6EED">
        <w:rPr>
          <w:bCs/>
          <w:color w:val="000000"/>
          <w:szCs w:val="24"/>
          <w:lang w:val="es-UY"/>
        </w:rPr>
        <w:t>reseña sobre las acciones que se han venido desarrollando en ocasión de la conmem</w:t>
      </w:r>
      <w:r w:rsidR="008D6583" w:rsidRPr="003D6EED">
        <w:rPr>
          <w:bCs/>
          <w:color w:val="000000"/>
          <w:szCs w:val="24"/>
          <w:lang w:val="es-UY"/>
        </w:rPr>
        <w:t xml:space="preserve">oración del 30° aniversario del </w:t>
      </w:r>
      <w:r w:rsidR="008300F3" w:rsidRPr="003D6EED">
        <w:rPr>
          <w:bCs/>
          <w:color w:val="000000"/>
          <w:szCs w:val="24"/>
          <w:lang w:val="es-UY"/>
        </w:rPr>
        <w:t>MERCOSUR</w:t>
      </w:r>
      <w:bookmarkEnd w:id="2"/>
      <w:r w:rsidR="008300F3" w:rsidRPr="003D6EED">
        <w:rPr>
          <w:bCs/>
          <w:color w:val="000000"/>
          <w:szCs w:val="24"/>
          <w:lang w:val="es-UY"/>
        </w:rPr>
        <w:t xml:space="preserve">, el pasado 26 de marzo, entre las cuales se destacan la presentación del Estatuto de la Ciudadanía del MERCOSUR y diversas actividades especiales conmemorativas organizadas por algunos de los </w:t>
      </w:r>
      <w:r w:rsidRPr="003D6EED">
        <w:rPr>
          <w:bCs/>
          <w:color w:val="000000"/>
          <w:szCs w:val="24"/>
          <w:lang w:val="es-UY"/>
        </w:rPr>
        <w:t>F</w:t>
      </w:r>
      <w:r w:rsidR="008300F3" w:rsidRPr="003D6EED">
        <w:rPr>
          <w:bCs/>
          <w:color w:val="000000"/>
          <w:szCs w:val="24"/>
          <w:lang w:val="es-UY"/>
        </w:rPr>
        <w:t xml:space="preserve">oros bajo la coordinación y seguimiento del FCCP. El informe detallado de las actividades consta como </w:t>
      </w:r>
      <w:r w:rsidR="008300F3" w:rsidRPr="003D6EED">
        <w:rPr>
          <w:b/>
          <w:color w:val="000000"/>
          <w:szCs w:val="24"/>
          <w:lang w:val="es-UY"/>
        </w:rPr>
        <w:t>Anexo IV</w:t>
      </w:r>
      <w:r w:rsidR="008300F3" w:rsidRPr="003D6EED">
        <w:rPr>
          <w:bCs/>
          <w:color w:val="000000"/>
          <w:szCs w:val="24"/>
          <w:lang w:val="es-UY"/>
        </w:rPr>
        <w:t>.</w:t>
      </w:r>
    </w:p>
    <w:p w14:paraId="478EDF50" w14:textId="77777777" w:rsidR="008300F3" w:rsidRPr="003D6EED" w:rsidRDefault="008300F3">
      <w:pPr>
        <w:autoSpaceDE w:val="0"/>
        <w:jc w:val="both"/>
        <w:rPr>
          <w:szCs w:val="24"/>
          <w:lang w:val="es-UY"/>
        </w:rPr>
      </w:pPr>
    </w:p>
    <w:p w14:paraId="2FBA8E38" w14:textId="77777777" w:rsidR="008300F3" w:rsidRPr="003D6EED" w:rsidRDefault="008300F3">
      <w:pPr>
        <w:autoSpaceDE w:val="0"/>
        <w:jc w:val="both"/>
        <w:rPr>
          <w:bCs/>
          <w:color w:val="000000"/>
          <w:szCs w:val="24"/>
          <w:lang w:val="es-UY"/>
        </w:rPr>
      </w:pPr>
    </w:p>
    <w:p w14:paraId="22EEBD55" w14:textId="77777777" w:rsidR="008300F3" w:rsidRPr="003D6EED" w:rsidRDefault="008300F3" w:rsidP="00151BC3">
      <w:pPr>
        <w:numPr>
          <w:ilvl w:val="0"/>
          <w:numId w:val="2"/>
        </w:numPr>
        <w:spacing w:after="160"/>
        <w:jc w:val="both"/>
        <w:rPr>
          <w:rFonts w:eastAsia="Calibri"/>
          <w:b/>
          <w:bCs/>
          <w:szCs w:val="24"/>
          <w:lang w:val="es-UY"/>
        </w:rPr>
      </w:pPr>
      <w:r w:rsidRPr="003D6EED">
        <w:rPr>
          <w:rFonts w:eastAsia="Calibri"/>
          <w:b/>
          <w:bCs/>
          <w:szCs w:val="24"/>
          <w:lang w:val="es-UY"/>
        </w:rPr>
        <w:t xml:space="preserve">REFLEXIONES SOBRE EL FORTALECIMIENTO DEL ROL Y EL FUNCIONAMIENTO DEL FORO DE CONSULTA Y CONCERTACIÓN POLÍTICA DEL MERCOSUR. </w:t>
      </w:r>
    </w:p>
    <w:p w14:paraId="3BE22831" w14:textId="77777777" w:rsidR="008300F3" w:rsidRPr="003D6EED" w:rsidRDefault="008300F3">
      <w:pPr>
        <w:rPr>
          <w:rFonts w:eastAsia="Calibri"/>
          <w:b/>
          <w:bCs/>
          <w:szCs w:val="24"/>
          <w:lang w:val="es-UY"/>
        </w:rPr>
      </w:pPr>
    </w:p>
    <w:p w14:paraId="0AB1042F" w14:textId="77777777" w:rsidR="00151BC3" w:rsidRPr="003D6EED" w:rsidRDefault="008300F3">
      <w:pPr>
        <w:jc w:val="both"/>
        <w:rPr>
          <w:szCs w:val="24"/>
          <w:lang w:val="es-UY" w:eastAsia="es-AR"/>
        </w:rPr>
      </w:pPr>
      <w:r w:rsidRPr="003D6EED">
        <w:rPr>
          <w:bCs/>
          <w:szCs w:val="24"/>
          <w:lang w:val="es-ES"/>
        </w:rPr>
        <w:t>La PPTA presentó reflexiones sobre el fortalecimien</w:t>
      </w:r>
      <w:r w:rsidR="00AE1141" w:rsidRPr="003D6EED">
        <w:rPr>
          <w:bCs/>
          <w:szCs w:val="24"/>
          <w:lang w:val="es-ES"/>
        </w:rPr>
        <w:t>to y el funcionamiento del FCCP, dando continuidad al diálogo que se venía desarrollando sobre el tema en anteri</w:t>
      </w:r>
      <w:r w:rsidR="001B3586" w:rsidRPr="003D6EED">
        <w:rPr>
          <w:bCs/>
          <w:szCs w:val="24"/>
          <w:lang w:val="es-ES"/>
        </w:rPr>
        <w:t>ores Presidencias Pro Tempore.</w:t>
      </w:r>
      <w:r w:rsidR="00AE1141" w:rsidRPr="003D6EED">
        <w:rPr>
          <w:bCs/>
          <w:szCs w:val="24"/>
          <w:lang w:val="es-ES"/>
        </w:rPr>
        <w:t xml:space="preserve"> </w:t>
      </w:r>
      <w:r w:rsidR="001B3586" w:rsidRPr="003D6EED">
        <w:rPr>
          <w:bCs/>
          <w:szCs w:val="24"/>
          <w:lang w:val="es-ES"/>
        </w:rPr>
        <w:t>Destacó</w:t>
      </w:r>
      <w:r w:rsidR="00AE1141" w:rsidRPr="003D6EED">
        <w:rPr>
          <w:bCs/>
          <w:szCs w:val="24"/>
          <w:lang w:val="es-ES"/>
        </w:rPr>
        <w:t xml:space="preserve"> que </w:t>
      </w:r>
      <w:r w:rsidR="00AE1141" w:rsidRPr="003D6EED">
        <w:rPr>
          <w:szCs w:val="24"/>
          <w:lang w:val="es-UY" w:eastAsia="es-AR"/>
        </w:rPr>
        <w:t>el F</w:t>
      </w:r>
      <w:r w:rsidR="001B3586" w:rsidRPr="003D6EED">
        <w:rPr>
          <w:szCs w:val="24"/>
          <w:lang w:val="es-UY" w:eastAsia="es-AR"/>
        </w:rPr>
        <w:t>oro de Consulta y Concertación Política</w:t>
      </w:r>
      <w:r w:rsidR="00AE1141" w:rsidRPr="003D6EED">
        <w:rPr>
          <w:szCs w:val="24"/>
          <w:lang w:val="es-UY" w:eastAsia="es-AR"/>
        </w:rPr>
        <w:t xml:space="preserve"> (FCCP) del MERCOSUR es uno de los ámbitos con mayor continuidad en la construcción de políticas subregi</w:t>
      </w:r>
      <w:r w:rsidR="001B3586" w:rsidRPr="003D6EED">
        <w:rPr>
          <w:szCs w:val="24"/>
          <w:lang w:val="es-UY" w:eastAsia="es-AR"/>
        </w:rPr>
        <w:t xml:space="preserve">onales. </w:t>
      </w:r>
    </w:p>
    <w:p w14:paraId="7074FCC3" w14:textId="77777777" w:rsidR="00151BC3" w:rsidRPr="003D6EED" w:rsidRDefault="00151BC3">
      <w:pPr>
        <w:jc w:val="both"/>
        <w:rPr>
          <w:szCs w:val="24"/>
          <w:lang w:val="es-UY" w:eastAsia="es-AR"/>
        </w:rPr>
      </w:pPr>
    </w:p>
    <w:p w14:paraId="6E2CB01F" w14:textId="6B11B0B4" w:rsidR="00AE1141" w:rsidRPr="003D6EED" w:rsidRDefault="00AE1141">
      <w:pPr>
        <w:jc w:val="both"/>
        <w:rPr>
          <w:bCs/>
          <w:szCs w:val="24"/>
          <w:lang w:val="es-ES"/>
        </w:rPr>
      </w:pPr>
      <w:r w:rsidRPr="003D6EED">
        <w:rPr>
          <w:szCs w:val="24"/>
          <w:lang w:val="es-UY" w:eastAsia="es-AR"/>
        </w:rPr>
        <w:t xml:space="preserve">En este sentido, </w:t>
      </w:r>
      <w:r w:rsidR="001B3586" w:rsidRPr="003D6EED">
        <w:rPr>
          <w:szCs w:val="24"/>
          <w:lang w:val="es-UY" w:eastAsia="es-AR"/>
        </w:rPr>
        <w:t xml:space="preserve">subrayó que </w:t>
      </w:r>
      <w:r w:rsidRPr="003D6EED">
        <w:rPr>
          <w:szCs w:val="24"/>
          <w:lang w:val="es-UY" w:eastAsia="es-AR"/>
        </w:rPr>
        <w:t>la participación de los países Asociados al MERCOSUR</w:t>
      </w:r>
      <w:r w:rsidR="001B3586" w:rsidRPr="003D6EED">
        <w:rPr>
          <w:szCs w:val="24"/>
          <w:lang w:val="es-UY" w:eastAsia="es-AR"/>
        </w:rPr>
        <w:t xml:space="preserve"> </w:t>
      </w:r>
      <w:r w:rsidRPr="003D6EED">
        <w:rPr>
          <w:szCs w:val="24"/>
          <w:lang w:val="es-UY" w:eastAsia="es-AR"/>
        </w:rPr>
        <w:t xml:space="preserve">en el </w:t>
      </w:r>
      <w:r w:rsidR="00151BC3" w:rsidRPr="003D6EED">
        <w:rPr>
          <w:szCs w:val="24"/>
          <w:lang w:val="es-UY" w:eastAsia="es-AR"/>
        </w:rPr>
        <w:t>FCCP</w:t>
      </w:r>
      <w:r w:rsidRPr="003D6EED">
        <w:rPr>
          <w:szCs w:val="24"/>
          <w:lang w:val="es-UY" w:eastAsia="es-AR"/>
        </w:rPr>
        <w:t xml:space="preserve"> dota a esta instancia de una re</w:t>
      </w:r>
      <w:r w:rsidR="005B38F5" w:rsidRPr="003D6EED">
        <w:rPr>
          <w:szCs w:val="24"/>
          <w:lang w:val="es-UY" w:eastAsia="es-AR"/>
        </w:rPr>
        <w:t>levante proyección regional, tanto</w:t>
      </w:r>
      <w:r w:rsidRPr="003D6EED">
        <w:rPr>
          <w:szCs w:val="24"/>
          <w:lang w:val="es-UY" w:eastAsia="es-AR"/>
        </w:rPr>
        <w:t xml:space="preserve"> es así que muchas de las decisiones adoptadas por los foros políticos del MERCOSUR han sido incorporadas a las legislaciones nacionales de los Asociados</w:t>
      </w:r>
      <w:r w:rsidR="005B38F5" w:rsidRPr="003D6EED">
        <w:rPr>
          <w:szCs w:val="24"/>
          <w:lang w:val="es-UY" w:eastAsia="es-AR"/>
        </w:rPr>
        <w:t>.</w:t>
      </w:r>
    </w:p>
    <w:p w14:paraId="436D8AAD" w14:textId="77777777" w:rsidR="00AE1141" w:rsidRPr="003D6EED" w:rsidRDefault="00AE1141">
      <w:pPr>
        <w:jc w:val="both"/>
        <w:rPr>
          <w:bCs/>
          <w:szCs w:val="24"/>
          <w:lang w:val="es-ES"/>
        </w:rPr>
      </w:pPr>
    </w:p>
    <w:p w14:paraId="5C6DDA99" w14:textId="77777777" w:rsidR="00360B0D" w:rsidRPr="003D6EED" w:rsidRDefault="00CF1179" w:rsidP="00CF1179">
      <w:pPr>
        <w:jc w:val="both"/>
        <w:rPr>
          <w:szCs w:val="24"/>
          <w:lang w:val="es-AR"/>
        </w:rPr>
      </w:pPr>
      <w:r w:rsidRPr="003D6EED">
        <w:rPr>
          <w:bCs/>
          <w:szCs w:val="24"/>
          <w:lang w:val="es-ES"/>
        </w:rPr>
        <w:t>Así mismo</w:t>
      </w:r>
      <w:r w:rsidR="00C13771" w:rsidRPr="003D6EED">
        <w:rPr>
          <w:bCs/>
          <w:szCs w:val="24"/>
          <w:lang w:val="es-ES"/>
        </w:rPr>
        <w:t>, la PPT</w:t>
      </w:r>
      <w:r w:rsidRPr="003D6EED">
        <w:rPr>
          <w:bCs/>
          <w:szCs w:val="24"/>
          <w:lang w:val="es-ES"/>
        </w:rPr>
        <w:t xml:space="preserve"> destacó que</w:t>
      </w:r>
      <w:r w:rsidR="00360B0D" w:rsidRPr="003D6EED">
        <w:rPr>
          <w:szCs w:val="24"/>
          <w:lang w:val="es-AR"/>
        </w:rPr>
        <w:t>, el FCCP tiene como rol prioritario profundizar el examen y coordinación de la agenda política del MERCOSUR, inclusive en lo atinente a cuestiones internacionales de naturaleza política y de interés común relacionada con terceros países, grupos de países y organismos internacionales.</w:t>
      </w:r>
    </w:p>
    <w:p w14:paraId="7D6811EB" w14:textId="77777777" w:rsidR="00CF1179" w:rsidRPr="003D6EED" w:rsidRDefault="00CF1179" w:rsidP="00CF1179">
      <w:pPr>
        <w:jc w:val="both"/>
        <w:rPr>
          <w:szCs w:val="24"/>
          <w:lang w:val="es-AR"/>
        </w:rPr>
      </w:pPr>
    </w:p>
    <w:p w14:paraId="1C846B9F" w14:textId="77777777" w:rsidR="00CF1179" w:rsidRPr="003D6EED" w:rsidRDefault="00CF1179" w:rsidP="00CF1179">
      <w:pPr>
        <w:jc w:val="both"/>
        <w:rPr>
          <w:bCs/>
          <w:szCs w:val="24"/>
          <w:lang w:val="es-ES"/>
        </w:rPr>
      </w:pPr>
      <w:r w:rsidRPr="003D6EED">
        <w:rPr>
          <w:bCs/>
          <w:szCs w:val="24"/>
          <w:lang w:val="es-ES"/>
        </w:rPr>
        <w:t xml:space="preserve">Expresó además que uno de los aportes más importantes del FCCP desde su creación, está vinculado con la consolidación de los procesos democráticos en la subregión y su proyección a toda la región suramericana. Entre las decisiones que desde el FCCP tuvieron proyección para toda la región suramericana se citó al Acuerdo sobre Residencia MERCOSUR que facilita la movilidad de ciudadanos dentro del MERCOSUR y en la región </w:t>
      </w:r>
      <w:proofErr w:type="gramStart"/>
      <w:r w:rsidRPr="003D6EED">
        <w:rPr>
          <w:bCs/>
          <w:szCs w:val="24"/>
          <w:lang w:val="es-ES"/>
        </w:rPr>
        <w:t>Suramericana</w:t>
      </w:r>
      <w:proofErr w:type="gramEnd"/>
      <w:r w:rsidRPr="003D6EED">
        <w:rPr>
          <w:bCs/>
          <w:szCs w:val="24"/>
          <w:lang w:val="es-ES"/>
        </w:rPr>
        <w:t>, el reconocimiento de estudios primarios</w:t>
      </w:r>
      <w:r w:rsidR="005B38F5" w:rsidRPr="003D6EED">
        <w:rPr>
          <w:bCs/>
          <w:szCs w:val="24"/>
          <w:lang w:val="es-ES"/>
        </w:rPr>
        <w:t>, secundarios, y universitarios;</w:t>
      </w:r>
      <w:r w:rsidRPr="003D6EED">
        <w:rPr>
          <w:bCs/>
          <w:szCs w:val="24"/>
          <w:lang w:val="es-ES"/>
        </w:rPr>
        <w:t xml:space="preserve"> distintos mecanismos de cooperación judicial; integración fronteriza; el mecanismo de asistencia consular y la construcción de ciudadanía MERCOSUR, entre otros.</w:t>
      </w:r>
    </w:p>
    <w:p w14:paraId="1F2160FF" w14:textId="77777777" w:rsidR="00CF1179" w:rsidRPr="003D6EED" w:rsidRDefault="00CF1179" w:rsidP="00CF1179">
      <w:pPr>
        <w:jc w:val="both"/>
        <w:rPr>
          <w:bCs/>
          <w:szCs w:val="24"/>
          <w:lang w:val="es-ES"/>
        </w:rPr>
      </w:pPr>
    </w:p>
    <w:p w14:paraId="5E92CCE2" w14:textId="21B5F1D5" w:rsidR="00242E0F" w:rsidRPr="003D6EED" w:rsidRDefault="00CF1179" w:rsidP="00242E0F">
      <w:pPr>
        <w:spacing w:after="200" w:line="276" w:lineRule="auto"/>
        <w:jc w:val="both"/>
        <w:rPr>
          <w:bCs/>
          <w:szCs w:val="24"/>
          <w:lang w:val="es-ES"/>
        </w:rPr>
      </w:pPr>
      <w:r w:rsidRPr="003D6EED">
        <w:rPr>
          <w:bCs/>
          <w:szCs w:val="24"/>
          <w:lang w:val="es-ES"/>
        </w:rPr>
        <w:t>La PPTA destacó</w:t>
      </w:r>
      <w:r w:rsidR="005B38F5" w:rsidRPr="003D6EED">
        <w:rPr>
          <w:bCs/>
          <w:szCs w:val="24"/>
          <w:lang w:val="es-ES"/>
        </w:rPr>
        <w:t xml:space="preserve">, además, </w:t>
      </w:r>
      <w:r w:rsidRPr="003D6EED">
        <w:rPr>
          <w:bCs/>
          <w:szCs w:val="24"/>
          <w:lang w:val="es-ES"/>
        </w:rPr>
        <w:t>la importancia de continuar trabajando para aumentar la visibilidad de los logros alcanzado</w:t>
      </w:r>
      <w:r w:rsidR="00242E0F" w:rsidRPr="003D6EED">
        <w:rPr>
          <w:bCs/>
          <w:szCs w:val="24"/>
          <w:lang w:val="es-ES"/>
        </w:rPr>
        <w:t xml:space="preserve">s y profundizar la coordinación, </w:t>
      </w:r>
      <w:r w:rsidR="00242E0F" w:rsidRPr="003D6EED">
        <w:rPr>
          <w:rFonts w:eastAsia="Calibri"/>
          <w:szCs w:val="24"/>
          <w:lang w:val="es-AR" w:eastAsia="en-US"/>
        </w:rPr>
        <w:t xml:space="preserve">así como promover un mayor grado de articulación transversal del FCCP, no sólo con los foros e institutos que se encuentran bajo su órbita, sino también con otras instancias del </w:t>
      </w:r>
      <w:r w:rsidR="005B38F5" w:rsidRPr="003D6EED">
        <w:rPr>
          <w:rFonts w:eastAsia="Calibri"/>
          <w:szCs w:val="24"/>
          <w:lang w:val="es-AR" w:eastAsia="en-US"/>
        </w:rPr>
        <w:t xml:space="preserve">MERCOSUR </w:t>
      </w:r>
      <w:r w:rsidR="00242E0F" w:rsidRPr="003D6EED">
        <w:rPr>
          <w:rFonts w:eastAsia="Calibri"/>
          <w:szCs w:val="24"/>
          <w:lang w:val="es-AR" w:eastAsia="en-US"/>
        </w:rPr>
        <w:t xml:space="preserve">que abordan </w:t>
      </w:r>
      <w:r w:rsidR="00C12EE6" w:rsidRPr="003D6EED">
        <w:rPr>
          <w:rFonts w:eastAsia="Calibri"/>
          <w:szCs w:val="24"/>
          <w:lang w:val="es-AR" w:eastAsia="en-US"/>
        </w:rPr>
        <w:t xml:space="preserve">materias, </w:t>
      </w:r>
      <w:r w:rsidR="00151BC3" w:rsidRPr="003D6EED">
        <w:rPr>
          <w:rFonts w:eastAsia="Calibri"/>
          <w:szCs w:val="24"/>
          <w:lang w:val="es-AR" w:eastAsia="en-US"/>
        </w:rPr>
        <w:t>que,</w:t>
      </w:r>
      <w:r w:rsidR="00C12EE6" w:rsidRPr="003D6EED">
        <w:rPr>
          <w:rFonts w:eastAsia="Calibri"/>
          <w:szCs w:val="24"/>
          <w:lang w:val="es-AR" w:eastAsia="en-US"/>
        </w:rPr>
        <w:t xml:space="preserve"> por su naturaleza, </w:t>
      </w:r>
      <w:r w:rsidR="00242E0F" w:rsidRPr="003D6EED">
        <w:rPr>
          <w:rFonts w:eastAsia="Calibri"/>
          <w:szCs w:val="24"/>
          <w:lang w:val="es-AR" w:eastAsia="en-US"/>
        </w:rPr>
        <w:t>también tiene puntos de contacto con las esferas político y social</w:t>
      </w:r>
      <w:r w:rsidR="005B38F5" w:rsidRPr="003D6EED">
        <w:rPr>
          <w:rFonts w:eastAsia="Calibri"/>
          <w:szCs w:val="24"/>
          <w:lang w:val="es-AR" w:eastAsia="en-US"/>
        </w:rPr>
        <w:t>.</w:t>
      </w:r>
    </w:p>
    <w:p w14:paraId="40CAE76C" w14:textId="77777777" w:rsidR="00242E0F" w:rsidRPr="003D6EED" w:rsidRDefault="00242E0F" w:rsidP="00CF1179">
      <w:pPr>
        <w:jc w:val="both"/>
        <w:rPr>
          <w:bCs/>
          <w:szCs w:val="24"/>
          <w:lang w:val="es-ES"/>
        </w:rPr>
      </w:pPr>
    </w:p>
    <w:p w14:paraId="431CF499" w14:textId="77777777" w:rsidR="001B3586" w:rsidRPr="003D6EED" w:rsidRDefault="001B3586" w:rsidP="001B3586">
      <w:pPr>
        <w:jc w:val="both"/>
        <w:rPr>
          <w:bCs/>
          <w:szCs w:val="24"/>
          <w:lang w:val="es-ES"/>
        </w:rPr>
      </w:pPr>
      <w:r w:rsidRPr="003D6EED">
        <w:rPr>
          <w:bCs/>
          <w:szCs w:val="24"/>
          <w:lang w:val="es-ES"/>
        </w:rPr>
        <w:lastRenderedPageBreak/>
        <w:t>Por otra parte, la PPTA identificó algunos desafíos pendientes en el ac</w:t>
      </w:r>
      <w:r w:rsidR="005B38F5" w:rsidRPr="003D6EED">
        <w:rPr>
          <w:bCs/>
          <w:szCs w:val="24"/>
          <w:lang w:val="es-ES"/>
        </w:rPr>
        <w:t>cionar y funcionamiento del Foro</w:t>
      </w:r>
      <w:r w:rsidRPr="003D6EED">
        <w:rPr>
          <w:bCs/>
          <w:szCs w:val="24"/>
          <w:lang w:val="es-ES"/>
        </w:rPr>
        <w:t xml:space="preserve"> a fin de reflexionar sobre éstas y fortale</w:t>
      </w:r>
      <w:r w:rsidR="00C12EE6" w:rsidRPr="003D6EED">
        <w:rPr>
          <w:bCs/>
          <w:szCs w:val="24"/>
          <w:lang w:val="es-ES"/>
        </w:rPr>
        <w:t xml:space="preserve">cer su potencial encaminándolo </w:t>
      </w:r>
      <w:r w:rsidRPr="003D6EED">
        <w:rPr>
          <w:bCs/>
          <w:szCs w:val="24"/>
          <w:lang w:val="es-ES"/>
        </w:rPr>
        <w:t xml:space="preserve">adecuadamente hacia un proceso de reestructuración. </w:t>
      </w:r>
    </w:p>
    <w:p w14:paraId="48E06DAB" w14:textId="77777777" w:rsidR="001B3586" w:rsidRPr="003D6EED" w:rsidRDefault="001B3586" w:rsidP="001B3586">
      <w:pPr>
        <w:jc w:val="both"/>
        <w:rPr>
          <w:bCs/>
          <w:szCs w:val="24"/>
          <w:lang w:val="es-ES"/>
        </w:rPr>
      </w:pPr>
    </w:p>
    <w:p w14:paraId="64DC1C06" w14:textId="0FDACB3E" w:rsidR="001B3586" w:rsidRPr="003D6EED" w:rsidRDefault="00151BC3" w:rsidP="001B3586">
      <w:pPr>
        <w:jc w:val="both"/>
        <w:rPr>
          <w:bCs/>
          <w:szCs w:val="24"/>
          <w:lang w:val="es-ES"/>
        </w:rPr>
      </w:pPr>
      <w:r w:rsidRPr="003D6EED">
        <w:rPr>
          <w:bCs/>
          <w:szCs w:val="24"/>
          <w:lang w:val="es-ES"/>
        </w:rPr>
        <w:t>Con relación al</w:t>
      </w:r>
      <w:r w:rsidR="001B3586" w:rsidRPr="003D6EED">
        <w:rPr>
          <w:bCs/>
          <w:szCs w:val="24"/>
          <w:lang w:val="es-ES"/>
        </w:rPr>
        <w:t xml:space="preserve"> análisis efectuado, la </w:t>
      </w:r>
      <w:r w:rsidRPr="003D6EED">
        <w:rPr>
          <w:bCs/>
          <w:szCs w:val="24"/>
          <w:lang w:val="es-ES"/>
        </w:rPr>
        <w:t>PPTA</w:t>
      </w:r>
      <w:r w:rsidR="001B3586" w:rsidRPr="003D6EED">
        <w:rPr>
          <w:bCs/>
          <w:szCs w:val="24"/>
          <w:lang w:val="es-ES"/>
        </w:rPr>
        <w:t xml:space="preserve"> invitó al intercambio de ideas respecto de algunas </w:t>
      </w:r>
      <w:r w:rsidR="005B38F5" w:rsidRPr="003D6EED">
        <w:rPr>
          <w:bCs/>
          <w:szCs w:val="24"/>
          <w:lang w:val="es-ES"/>
        </w:rPr>
        <w:t>propuestas para elaborar un Programa</w:t>
      </w:r>
      <w:r w:rsidR="001B3586" w:rsidRPr="003D6EED">
        <w:rPr>
          <w:bCs/>
          <w:szCs w:val="24"/>
          <w:lang w:val="es-ES"/>
        </w:rPr>
        <w:t xml:space="preserve"> de Trabajo dirigido a adoptar medidas concretas que redunden en el fortalecimiento y mayor visibilidad de la labor del FCCP. Entre dichas propuestas se puede mencion</w:t>
      </w:r>
      <w:r w:rsidR="00635487" w:rsidRPr="003D6EED">
        <w:rPr>
          <w:bCs/>
          <w:szCs w:val="24"/>
          <w:lang w:val="es-ES"/>
        </w:rPr>
        <w:t>ar el establecimiento de un Programa de Trabajo Bia</w:t>
      </w:r>
      <w:r w:rsidR="001B3586" w:rsidRPr="003D6EED">
        <w:rPr>
          <w:bCs/>
          <w:szCs w:val="24"/>
          <w:lang w:val="es-ES"/>
        </w:rPr>
        <w:t>n</w:t>
      </w:r>
      <w:r w:rsidR="00635487" w:rsidRPr="003D6EED">
        <w:rPr>
          <w:bCs/>
          <w:szCs w:val="24"/>
          <w:lang w:val="es-ES"/>
        </w:rPr>
        <w:t>u</w:t>
      </w:r>
      <w:r w:rsidR="001B3586" w:rsidRPr="003D6EED">
        <w:rPr>
          <w:bCs/>
          <w:szCs w:val="24"/>
          <w:lang w:val="es-ES"/>
        </w:rPr>
        <w:t>al y la incorporación de temas a la agenda del MERCOSUR, la inclusión en la agenda del FCCP de un espacio para el intercambio de información y opinión sobre la situación política de la región e internacional,</w:t>
      </w:r>
      <w:r w:rsidR="0059510B" w:rsidRPr="003D6EED">
        <w:rPr>
          <w:bCs/>
          <w:szCs w:val="24"/>
          <w:lang w:val="es-ES"/>
        </w:rPr>
        <w:t xml:space="preserve"> la designación de punto focal en la Secretaría del </w:t>
      </w:r>
      <w:r w:rsidR="00635487" w:rsidRPr="003D6EED">
        <w:rPr>
          <w:bCs/>
          <w:szCs w:val="24"/>
          <w:lang w:val="es-ES"/>
        </w:rPr>
        <w:t xml:space="preserve">MERCOSUR </w:t>
      </w:r>
      <w:r w:rsidR="0059510B" w:rsidRPr="003D6EED">
        <w:rPr>
          <w:bCs/>
          <w:szCs w:val="24"/>
          <w:lang w:val="es-ES"/>
        </w:rPr>
        <w:t>y la posibilidad de promover la convergencia</w:t>
      </w:r>
      <w:r w:rsidR="001B3586" w:rsidRPr="003D6EED">
        <w:rPr>
          <w:bCs/>
          <w:szCs w:val="24"/>
          <w:lang w:val="es-ES"/>
        </w:rPr>
        <w:t xml:space="preserve"> de posiciones comunes ante fo</w:t>
      </w:r>
      <w:r w:rsidR="00360B0D" w:rsidRPr="003D6EED">
        <w:rPr>
          <w:bCs/>
          <w:szCs w:val="24"/>
          <w:lang w:val="es-ES"/>
        </w:rPr>
        <w:t xml:space="preserve">ros regionales y multilaterales, </w:t>
      </w:r>
      <w:r w:rsidR="001B3586" w:rsidRPr="003D6EED">
        <w:rPr>
          <w:bCs/>
          <w:szCs w:val="24"/>
          <w:lang w:val="es-ES"/>
        </w:rPr>
        <w:t>entre otros.</w:t>
      </w:r>
    </w:p>
    <w:p w14:paraId="6B2C0963" w14:textId="77777777" w:rsidR="001B3586" w:rsidRPr="003D6EED" w:rsidRDefault="001B3586" w:rsidP="001B3586">
      <w:pPr>
        <w:jc w:val="both"/>
        <w:rPr>
          <w:bCs/>
          <w:szCs w:val="24"/>
          <w:lang w:val="es-ES"/>
        </w:rPr>
      </w:pPr>
    </w:p>
    <w:p w14:paraId="13711ACC" w14:textId="26A89CF3" w:rsidR="0059510B" w:rsidRPr="003D6EED" w:rsidRDefault="0059510B" w:rsidP="001B3586">
      <w:pPr>
        <w:jc w:val="both"/>
        <w:rPr>
          <w:bCs/>
          <w:szCs w:val="24"/>
          <w:lang w:val="es-ES"/>
        </w:rPr>
      </w:pPr>
      <w:r w:rsidRPr="003D6EED">
        <w:rPr>
          <w:bCs/>
          <w:szCs w:val="24"/>
          <w:lang w:val="es-ES"/>
        </w:rPr>
        <w:t>La PPTA enfatizó que contar</w:t>
      </w:r>
      <w:r w:rsidR="00B36CA9" w:rsidRPr="003D6EED">
        <w:rPr>
          <w:bCs/>
          <w:szCs w:val="24"/>
          <w:lang w:val="es-ES"/>
        </w:rPr>
        <w:t xml:space="preserve"> con un Programa</w:t>
      </w:r>
      <w:r w:rsidRPr="003D6EED">
        <w:rPr>
          <w:bCs/>
          <w:szCs w:val="24"/>
          <w:lang w:val="es-ES"/>
        </w:rPr>
        <w:t xml:space="preserve"> de Trabajo permitiría orientar las tareas del FCCP garantizando una mayor estabilidad y continuidad de las prioridades e iniciativas planteadas por el Foro; generando mayor coherencia en sus trabajos. Por otra parte, se señaló que la existencia de un Programa de Trabajo permitirá, también, servir de referencia para las diferentes reuniones ministeriales; reuniones especializadas; grupos; subgrupos e institutos que se encuentran en el ámbito de competencia del FCCP.</w:t>
      </w:r>
    </w:p>
    <w:p w14:paraId="751DB316" w14:textId="77777777" w:rsidR="008300F3" w:rsidRPr="003D6EED" w:rsidRDefault="008300F3">
      <w:pPr>
        <w:rPr>
          <w:bCs/>
          <w:szCs w:val="24"/>
          <w:lang w:val="es-AR"/>
        </w:rPr>
      </w:pPr>
    </w:p>
    <w:p w14:paraId="0F6C4EED" w14:textId="77777777" w:rsidR="008300F3" w:rsidRPr="003D6EED" w:rsidRDefault="008300F3">
      <w:pPr>
        <w:jc w:val="both"/>
        <w:rPr>
          <w:rFonts w:eastAsia="Calibri"/>
          <w:b/>
          <w:bCs/>
          <w:szCs w:val="24"/>
          <w:lang w:val="es-AR"/>
        </w:rPr>
      </w:pPr>
      <w:r w:rsidRPr="003D6EED">
        <w:rPr>
          <w:bCs/>
          <w:szCs w:val="24"/>
          <w:lang w:val="es-ES"/>
        </w:rPr>
        <w:t>Las delegaciones agradecieron la exposición de la PPTA, intercambiaron opiniones y valoraron la articulación entre todos y la construcción de visiones comunes de la agenda regional para el fortalecimiento del FCCP.</w:t>
      </w:r>
    </w:p>
    <w:p w14:paraId="491C9E5B" w14:textId="77777777" w:rsidR="008300F3" w:rsidRPr="003D6EED" w:rsidRDefault="008300F3">
      <w:pPr>
        <w:jc w:val="both"/>
        <w:rPr>
          <w:rFonts w:eastAsia="Calibri"/>
          <w:b/>
          <w:bCs/>
          <w:szCs w:val="24"/>
          <w:lang w:val="es-AR"/>
        </w:rPr>
      </w:pPr>
    </w:p>
    <w:p w14:paraId="69F3F51A" w14:textId="77777777" w:rsidR="008300F3" w:rsidRPr="003D6EED" w:rsidRDefault="008300F3">
      <w:pPr>
        <w:jc w:val="both"/>
        <w:rPr>
          <w:rFonts w:eastAsia="Calibri"/>
          <w:b/>
          <w:bCs/>
          <w:szCs w:val="24"/>
          <w:lang w:val="es-UY"/>
        </w:rPr>
      </w:pPr>
    </w:p>
    <w:p w14:paraId="094604E5" w14:textId="32AF7C07" w:rsidR="0059510B" w:rsidRPr="003D6EED" w:rsidRDefault="008300F3" w:rsidP="003D6EED">
      <w:pPr>
        <w:numPr>
          <w:ilvl w:val="0"/>
          <w:numId w:val="2"/>
        </w:numPr>
        <w:spacing w:after="160"/>
        <w:rPr>
          <w:rFonts w:eastAsia="Calibri"/>
          <w:color w:val="000000"/>
          <w:szCs w:val="24"/>
          <w:lang w:val="es-UY"/>
        </w:rPr>
      </w:pPr>
      <w:r w:rsidRPr="003D6EED">
        <w:rPr>
          <w:rFonts w:eastAsia="Calibri"/>
          <w:b/>
          <w:bCs/>
          <w:szCs w:val="24"/>
          <w:lang w:val="es-UY"/>
        </w:rPr>
        <w:t xml:space="preserve">DIÁLOGO SOBRE “INFRAESTRUCTURA PARA LA INTEGRACIÓN”. </w:t>
      </w:r>
    </w:p>
    <w:p w14:paraId="6B4D7990" w14:textId="77777777" w:rsidR="003D6EED" w:rsidRDefault="003D6EED" w:rsidP="0059510B">
      <w:pPr>
        <w:jc w:val="both"/>
        <w:rPr>
          <w:bCs/>
          <w:color w:val="000000"/>
          <w:szCs w:val="24"/>
          <w:lang w:val="es-UY"/>
        </w:rPr>
      </w:pPr>
    </w:p>
    <w:p w14:paraId="5E367B5D" w14:textId="23C8D985" w:rsidR="0059510B" w:rsidRPr="003D6EED" w:rsidRDefault="0059510B" w:rsidP="0059510B">
      <w:pPr>
        <w:jc w:val="both"/>
        <w:rPr>
          <w:szCs w:val="24"/>
          <w:lang w:val="es-ES"/>
        </w:rPr>
      </w:pPr>
      <w:r w:rsidRPr="003D6EED">
        <w:rPr>
          <w:bCs/>
          <w:color w:val="000000"/>
          <w:szCs w:val="24"/>
          <w:lang w:val="es-UY"/>
        </w:rPr>
        <w:t xml:space="preserve">La PPTA </w:t>
      </w:r>
      <w:r w:rsidRPr="003D6EED">
        <w:rPr>
          <w:szCs w:val="24"/>
          <w:lang w:val="es-UY"/>
        </w:rPr>
        <w:t>propuso</w:t>
      </w:r>
      <w:r w:rsidRPr="003D6EED">
        <w:rPr>
          <w:szCs w:val="24"/>
          <w:lang w:val="es-ES"/>
        </w:rPr>
        <w:t xml:space="preserve"> iniciar un diálogo sobre la integración física del bloque regional con el objetivo de analizar alternativas viables que permitan relanzar proyectos sobre integración física, energética, de infraestructura y conectividad en la región. </w:t>
      </w:r>
    </w:p>
    <w:p w14:paraId="6B278523" w14:textId="77777777" w:rsidR="0059510B" w:rsidRPr="003D6EED" w:rsidRDefault="0059510B">
      <w:pPr>
        <w:spacing w:after="160"/>
        <w:jc w:val="both"/>
        <w:rPr>
          <w:rFonts w:eastAsia="Calibri"/>
          <w:color w:val="000000"/>
          <w:szCs w:val="24"/>
          <w:lang w:val="es-ES"/>
        </w:rPr>
      </w:pPr>
    </w:p>
    <w:p w14:paraId="662B6E33" w14:textId="49700045" w:rsidR="008300F3" w:rsidRPr="003D6EED" w:rsidRDefault="00151BC3">
      <w:pPr>
        <w:spacing w:after="160"/>
        <w:jc w:val="both"/>
        <w:rPr>
          <w:bCs/>
          <w:color w:val="000000"/>
          <w:szCs w:val="24"/>
          <w:lang w:val="es-UY"/>
        </w:rPr>
      </w:pPr>
      <w:r w:rsidRPr="003D6EED">
        <w:rPr>
          <w:rFonts w:eastAsia="Calibri"/>
          <w:color w:val="000000"/>
          <w:szCs w:val="24"/>
          <w:lang w:val="es-UY"/>
        </w:rPr>
        <w:t xml:space="preserve">Asimismo, </w:t>
      </w:r>
      <w:r w:rsidR="008300F3" w:rsidRPr="003D6EED">
        <w:rPr>
          <w:rFonts w:eastAsia="Calibri"/>
          <w:color w:val="000000"/>
          <w:szCs w:val="24"/>
          <w:lang w:val="es-UY"/>
        </w:rPr>
        <w:t xml:space="preserve">sostuvo que el </w:t>
      </w:r>
      <w:r w:rsidR="009D500F" w:rsidRPr="003D6EED">
        <w:rPr>
          <w:rFonts w:eastAsia="Calibri"/>
          <w:color w:val="000000"/>
          <w:szCs w:val="24"/>
          <w:lang w:val="es-UY"/>
        </w:rPr>
        <w:t xml:space="preserve">MERCOSUR </w:t>
      </w:r>
      <w:r w:rsidR="008300F3" w:rsidRPr="003D6EED">
        <w:rPr>
          <w:rFonts w:eastAsia="Calibri"/>
          <w:color w:val="000000"/>
          <w:szCs w:val="24"/>
          <w:lang w:val="es-UY"/>
        </w:rPr>
        <w:t>podrá crecer de manera sostenida si incrementa su competitividad en el mercado ampliado y en el mundo. Con ese objetivo, necesita volver a pensar su infraestructur</w:t>
      </w:r>
      <w:r w:rsidR="009D500F" w:rsidRPr="003D6EED">
        <w:rPr>
          <w:rFonts w:eastAsia="Calibri"/>
          <w:color w:val="000000"/>
          <w:szCs w:val="24"/>
          <w:lang w:val="es-UY"/>
        </w:rPr>
        <w:t>a económica, social, ambiental,</w:t>
      </w:r>
      <w:r w:rsidR="008300F3" w:rsidRPr="003D6EED">
        <w:rPr>
          <w:rFonts w:eastAsia="Calibri"/>
          <w:color w:val="000000"/>
          <w:szCs w:val="24"/>
          <w:lang w:val="es-UY"/>
        </w:rPr>
        <w:t xml:space="preserve"> de la información y del conocimiento con un horizonte estratégico que le permita orientar su aparato productivo y lograr su articulación interna. Recordó que el tema infraestructura había sido abordado en la reunión de Cancilleres del 16 de diciembre de 2020, quedando receptado en el Comunicado Conjunto</w:t>
      </w:r>
      <w:r w:rsidR="003D6EED" w:rsidRPr="003D6EED">
        <w:rPr>
          <w:rFonts w:eastAsia="Calibri"/>
          <w:color w:val="000000"/>
          <w:szCs w:val="24"/>
          <w:lang w:val="es-UY"/>
        </w:rPr>
        <w:t xml:space="preserve"> de</w:t>
      </w:r>
      <w:r w:rsidR="001956FF" w:rsidRPr="003D6EED">
        <w:rPr>
          <w:rFonts w:eastAsia="Calibri"/>
          <w:color w:val="000000"/>
          <w:szCs w:val="24"/>
          <w:lang w:val="es-UY"/>
        </w:rPr>
        <w:t xml:space="preserve"> Presidentes de los Estados Partes y Estados Asociados del MERCOSUR</w:t>
      </w:r>
      <w:r w:rsidR="008300F3" w:rsidRPr="003D6EED">
        <w:rPr>
          <w:rFonts w:eastAsia="Calibri"/>
          <w:color w:val="000000"/>
          <w:szCs w:val="24"/>
          <w:lang w:val="es-UY"/>
        </w:rPr>
        <w:t>.</w:t>
      </w:r>
    </w:p>
    <w:p w14:paraId="2B2F7651" w14:textId="77777777" w:rsidR="008300F3" w:rsidRPr="003D6EED" w:rsidRDefault="008300F3">
      <w:pPr>
        <w:jc w:val="both"/>
        <w:rPr>
          <w:szCs w:val="24"/>
          <w:lang w:val="es-ES"/>
        </w:rPr>
      </w:pPr>
      <w:bookmarkStart w:id="3" w:name="_Hlk71192190"/>
      <w:r w:rsidRPr="003D6EED">
        <w:rPr>
          <w:szCs w:val="24"/>
          <w:lang w:val="es-ES"/>
        </w:rPr>
        <w:t>La PPTA realizó una presentación en la cual destaca que el tema de la Infraestructura para la integración es recurrente al paso de los años y existe la necesidad de volve</w:t>
      </w:r>
      <w:r w:rsidR="009D500F" w:rsidRPr="003D6EED">
        <w:rPr>
          <w:szCs w:val="24"/>
          <w:lang w:val="es-ES"/>
        </w:rPr>
        <w:t xml:space="preserve">r a trabajar esta temática </w:t>
      </w:r>
      <w:r w:rsidRPr="003D6EED">
        <w:rPr>
          <w:szCs w:val="24"/>
          <w:lang w:val="es-ES"/>
        </w:rPr>
        <w:t xml:space="preserve">a nivel productivo, económico, laboral y de la conectividad entre otros. La presentación consta como </w:t>
      </w:r>
      <w:r w:rsidRPr="003D6EED">
        <w:rPr>
          <w:b/>
          <w:bCs/>
          <w:szCs w:val="24"/>
          <w:lang w:val="es-ES"/>
        </w:rPr>
        <w:t>Anexo V</w:t>
      </w:r>
      <w:r w:rsidRPr="003D6EED">
        <w:rPr>
          <w:szCs w:val="24"/>
          <w:lang w:val="es-ES"/>
        </w:rPr>
        <w:t>.</w:t>
      </w:r>
    </w:p>
    <w:bookmarkEnd w:id="3"/>
    <w:p w14:paraId="56DAC875" w14:textId="77777777" w:rsidR="008300F3" w:rsidRPr="003D6EED" w:rsidRDefault="008300F3">
      <w:pPr>
        <w:spacing w:after="200"/>
        <w:jc w:val="both"/>
        <w:rPr>
          <w:szCs w:val="24"/>
          <w:lang w:val="es-ES"/>
        </w:rPr>
      </w:pPr>
    </w:p>
    <w:p w14:paraId="033C2D70" w14:textId="77777777" w:rsidR="003D6EED" w:rsidRDefault="003D6EED">
      <w:pPr>
        <w:spacing w:after="200"/>
        <w:jc w:val="both"/>
        <w:rPr>
          <w:szCs w:val="24"/>
          <w:lang w:val="es-ES"/>
        </w:rPr>
      </w:pPr>
    </w:p>
    <w:p w14:paraId="606CF523" w14:textId="77777777" w:rsidR="003D6EED" w:rsidRDefault="003D6EED">
      <w:pPr>
        <w:spacing w:after="200"/>
        <w:jc w:val="both"/>
        <w:rPr>
          <w:szCs w:val="24"/>
          <w:lang w:val="es-ES"/>
        </w:rPr>
      </w:pPr>
    </w:p>
    <w:p w14:paraId="224911D7" w14:textId="36A7DA42" w:rsidR="008300F3" w:rsidRPr="003D6EED" w:rsidRDefault="008300F3">
      <w:pPr>
        <w:spacing w:after="200"/>
        <w:jc w:val="both"/>
        <w:rPr>
          <w:szCs w:val="24"/>
          <w:lang w:val="es-ES"/>
        </w:rPr>
      </w:pPr>
      <w:r w:rsidRPr="003D6EED">
        <w:rPr>
          <w:szCs w:val="24"/>
          <w:lang w:val="es-ES"/>
        </w:rPr>
        <w:t xml:space="preserve">Las delegaciones agradecieron la exposición del tema y realizaron comentarios sobre la infraestructura para la integración, un tema fundamental, destacando la importancia de la articulación público, privado y los logros obtenidos. </w:t>
      </w:r>
    </w:p>
    <w:p w14:paraId="683E16B5" w14:textId="68C745E2" w:rsidR="008300F3" w:rsidRPr="003D6EED" w:rsidRDefault="008300F3">
      <w:pPr>
        <w:spacing w:after="200"/>
        <w:jc w:val="both"/>
        <w:rPr>
          <w:szCs w:val="24"/>
          <w:lang w:val="es-ES"/>
        </w:rPr>
      </w:pPr>
      <w:r w:rsidRPr="003D6EED">
        <w:rPr>
          <w:szCs w:val="24"/>
          <w:lang w:val="es-ES"/>
        </w:rPr>
        <w:t>En ese sentido, a</w:t>
      </w:r>
      <w:r w:rsidR="009D500F" w:rsidRPr="003D6EED">
        <w:rPr>
          <w:szCs w:val="24"/>
          <w:lang w:val="es-ES"/>
        </w:rPr>
        <w:t xml:space="preserve">cordaron realizar una reunión </w:t>
      </w:r>
      <w:r w:rsidR="0059510B" w:rsidRPr="003D6EED">
        <w:rPr>
          <w:szCs w:val="24"/>
          <w:lang w:val="es-ES"/>
        </w:rPr>
        <w:t>a nivel ministerial</w:t>
      </w:r>
      <w:r w:rsidR="000557A8" w:rsidRPr="003D6EED">
        <w:rPr>
          <w:szCs w:val="24"/>
          <w:lang w:val="es-ES"/>
        </w:rPr>
        <w:t xml:space="preserve"> de las carteras con competencia</w:t>
      </w:r>
      <w:r w:rsidRPr="003D6EED">
        <w:rPr>
          <w:szCs w:val="24"/>
          <w:lang w:val="es-ES"/>
        </w:rPr>
        <w:t xml:space="preserve"> en esos temas para la </w:t>
      </w:r>
      <w:r w:rsidR="000557A8" w:rsidRPr="003D6EED">
        <w:rPr>
          <w:szCs w:val="24"/>
          <w:lang w:val="es-ES"/>
        </w:rPr>
        <w:t>segunda</w:t>
      </w:r>
      <w:r w:rsidRPr="003D6EED">
        <w:rPr>
          <w:szCs w:val="24"/>
          <w:lang w:val="es-ES"/>
        </w:rPr>
        <w:t xml:space="preserve"> quincena de junio con el propósito de di</w:t>
      </w:r>
      <w:r w:rsidR="000557A8" w:rsidRPr="003D6EED">
        <w:rPr>
          <w:szCs w:val="24"/>
          <w:lang w:val="es-ES"/>
        </w:rPr>
        <w:t>scutir los temas de interés y prever un</w:t>
      </w:r>
      <w:r w:rsidRPr="003D6EED">
        <w:rPr>
          <w:szCs w:val="24"/>
          <w:lang w:val="es-ES"/>
        </w:rPr>
        <w:t xml:space="preserve"> seguimiento </w:t>
      </w:r>
      <w:r w:rsidR="000557A8" w:rsidRPr="003D6EED">
        <w:rPr>
          <w:szCs w:val="24"/>
          <w:lang w:val="es-ES"/>
        </w:rPr>
        <w:t>de la iniciativa en el marco del MERCOSUR</w:t>
      </w:r>
      <w:r w:rsidRPr="003D6EED">
        <w:rPr>
          <w:szCs w:val="24"/>
          <w:lang w:val="es-ES"/>
        </w:rPr>
        <w:t>, evitando la d</w:t>
      </w:r>
      <w:r w:rsidR="00C12EE6" w:rsidRPr="003D6EED">
        <w:rPr>
          <w:szCs w:val="24"/>
          <w:lang w:val="es-ES"/>
        </w:rPr>
        <w:t xml:space="preserve">uplicación con los esfuerzos que, </w:t>
      </w:r>
      <w:r w:rsidR="009D500F" w:rsidRPr="003D6EED">
        <w:rPr>
          <w:szCs w:val="24"/>
          <w:lang w:val="es-ES"/>
        </w:rPr>
        <w:t>en otros ámbitos,</w:t>
      </w:r>
      <w:r w:rsidRPr="003D6EED">
        <w:rPr>
          <w:szCs w:val="24"/>
          <w:lang w:val="es-ES"/>
        </w:rPr>
        <w:t xml:space="preserve"> se viene</w:t>
      </w:r>
      <w:r w:rsidR="009D500F" w:rsidRPr="003D6EED">
        <w:rPr>
          <w:szCs w:val="24"/>
          <w:lang w:val="es-ES"/>
        </w:rPr>
        <w:t>n</w:t>
      </w:r>
      <w:r w:rsidRPr="003D6EED">
        <w:rPr>
          <w:szCs w:val="24"/>
          <w:lang w:val="es-ES"/>
        </w:rPr>
        <w:t xml:space="preserve"> trabajando en la región. </w:t>
      </w:r>
    </w:p>
    <w:p w14:paraId="30FA0109" w14:textId="77777777" w:rsidR="008300F3" w:rsidRPr="003D6EED" w:rsidRDefault="008300F3">
      <w:pPr>
        <w:spacing w:after="200"/>
        <w:jc w:val="both"/>
        <w:rPr>
          <w:szCs w:val="24"/>
          <w:lang w:val="es-ES"/>
        </w:rPr>
      </w:pPr>
      <w:r w:rsidRPr="003D6EED">
        <w:rPr>
          <w:szCs w:val="24"/>
          <w:lang w:val="es-ES"/>
        </w:rPr>
        <w:t>El tema continúa en agenda.</w:t>
      </w:r>
    </w:p>
    <w:p w14:paraId="0206839A" w14:textId="77777777" w:rsidR="008300F3" w:rsidRPr="003D6EED" w:rsidRDefault="008300F3">
      <w:pPr>
        <w:spacing w:after="200"/>
        <w:jc w:val="both"/>
        <w:rPr>
          <w:szCs w:val="24"/>
          <w:lang w:val="es-ES"/>
        </w:rPr>
      </w:pPr>
    </w:p>
    <w:p w14:paraId="4EF34971" w14:textId="77777777" w:rsidR="008300F3" w:rsidRPr="003D6EED" w:rsidRDefault="008300F3">
      <w:pPr>
        <w:jc w:val="both"/>
        <w:rPr>
          <w:szCs w:val="24"/>
          <w:lang w:val="es-UY"/>
        </w:rPr>
      </w:pPr>
      <w:r w:rsidRPr="003D6EED">
        <w:rPr>
          <w:b/>
          <w:szCs w:val="24"/>
          <w:lang w:val="es-UY"/>
        </w:rPr>
        <w:t>PRÓXIMA REUNIÓN</w:t>
      </w:r>
    </w:p>
    <w:p w14:paraId="66554B1E" w14:textId="77777777" w:rsidR="008300F3" w:rsidRPr="003D6EED" w:rsidRDefault="008300F3">
      <w:pPr>
        <w:jc w:val="both"/>
        <w:rPr>
          <w:szCs w:val="24"/>
          <w:lang w:val="es-UY"/>
        </w:rPr>
      </w:pPr>
    </w:p>
    <w:p w14:paraId="712FB149" w14:textId="77777777" w:rsidR="008300F3" w:rsidRPr="003D6EED" w:rsidRDefault="008300F3">
      <w:pPr>
        <w:autoSpaceDE w:val="0"/>
        <w:jc w:val="both"/>
        <w:rPr>
          <w:b/>
          <w:szCs w:val="24"/>
          <w:lang w:val="es-ES"/>
        </w:rPr>
      </w:pPr>
      <w:r w:rsidRPr="003D6EED">
        <w:rPr>
          <w:szCs w:val="24"/>
          <w:lang w:val="es-UY"/>
        </w:rPr>
        <w:t>La fecha de la próxima reunión del FCCP será el 5 de julio del corriente.</w:t>
      </w:r>
    </w:p>
    <w:p w14:paraId="4DB1333B" w14:textId="77777777" w:rsidR="008300F3" w:rsidRPr="003D6EED" w:rsidRDefault="008300F3">
      <w:pPr>
        <w:jc w:val="both"/>
        <w:rPr>
          <w:b/>
          <w:szCs w:val="24"/>
          <w:lang w:val="es-ES"/>
        </w:rPr>
      </w:pPr>
    </w:p>
    <w:p w14:paraId="2939835E" w14:textId="77777777" w:rsidR="003D6EED" w:rsidRPr="003D6EED" w:rsidRDefault="003D6EED">
      <w:pPr>
        <w:jc w:val="both"/>
        <w:rPr>
          <w:b/>
          <w:bCs/>
          <w:szCs w:val="24"/>
          <w:lang w:val="es-UY"/>
        </w:rPr>
      </w:pPr>
      <w:r w:rsidRPr="003D6EED">
        <w:rPr>
          <w:b/>
          <w:bCs/>
          <w:szCs w:val="24"/>
          <w:lang w:val="es-UY"/>
        </w:rPr>
        <w:t>AGRADECIMIENTO</w:t>
      </w:r>
    </w:p>
    <w:p w14:paraId="039C71DD" w14:textId="77777777" w:rsidR="003D6EED" w:rsidRPr="003D6EED" w:rsidRDefault="003D6EED">
      <w:pPr>
        <w:jc w:val="both"/>
        <w:rPr>
          <w:b/>
          <w:bCs/>
          <w:szCs w:val="24"/>
          <w:lang w:val="es-UY"/>
        </w:rPr>
      </w:pPr>
    </w:p>
    <w:p w14:paraId="22074610" w14:textId="1E718232" w:rsidR="008300F3" w:rsidRPr="003D6EED" w:rsidRDefault="008300F3">
      <w:pPr>
        <w:jc w:val="both"/>
        <w:rPr>
          <w:b/>
          <w:szCs w:val="24"/>
          <w:shd w:val="clear" w:color="auto" w:fill="FFFF00"/>
          <w:lang w:val="es-UY"/>
        </w:rPr>
      </w:pPr>
      <w:r w:rsidRPr="003D6EED">
        <w:rPr>
          <w:szCs w:val="24"/>
          <w:lang w:val="es-UY"/>
        </w:rPr>
        <w:t>Las delegaciones agradecieron a la PPTA po</w:t>
      </w:r>
      <w:r w:rsidR="00A7762B" w:rsidRPr="003D6EED">
        <w:rPr>
          <w:szCs w:val="24"/>
          <w:lang w:val="es-UY"/>
        </w:rPr>
        <w:t>r la organización del evento y e</w:t>
      </w:r>
      <w:r w:rsidRPr="003D6EED">
        <w:rPr>
          <w:szCs w:val="24"/>
          <w:lang w:val="es-UY"/>
        </w:rPr>
        <w:t>l apoyo brindado por el equipo de la Cancillería y de la Secretaría del MERCOSUR.</w:t>
      </w:r>
    </w:p>
    <w:p w14:paraId="0C178F4F" w14:textId="77777777" w:rsidR="008300F3" w:rsidRPr="003D6EED" w:rsidRDefault="008300F3">
      <w:pPr>
        <w:jc w:val="both"/>
        <w:rPr>
          <w:b/>
          <w:szCs w:val="24"/>
          <w:shd w:val="clear" w:color="auto" w:fill="FFFF00"/>
          <w:lang w:val="es-UY"/>
        </w:rPr>
      </w:pPr>
    </w:p>
    <w:p w14:paraId="7EE185B7" w14:textId="77777777" w:rsidR="008300F3" w:rsidRPr="003D6EED" w:rsidRDefault="008300F3">
      <w:pPr>
        <w:jc w:val="both"/>
        <w:rPr>
          <w:b/>
          <w:szCs w:val="24"/>
          <w:shd w:val="clear" w:color="auto" w:fill="FFFF00"/>
          <w:lang w:val="es-UY"/>
        </w:rPr>
      </w:pPr>
    </w:p>
    <w:p w14:paraId="2CD3AA47" w14:textId="77777777" w:rsidR="008300F3" w:rsidRPr="003D6EED" w:rsidRDefault="008300F3">
      <w:pPr>
        <w:tabs>
          <w:tab w:val="center" w:pos="4419"/>
          <w:tab w:val="right" w:pos="8838"/>
        </w:tabs>
        <w:rPr>
          <w:szCs w:val="24"/>
          <w:lang w:val="es-AR"/>
        </w:rPr>
      </w:pPr>
      <w:r w:rsidRPr="003D6EED">
        <w:rPr>
          <w:b/>
          <w:szCs w:val="24"/>
          <w:lang w:val="es-AR"/>
        </w:rPr>
        <w:t>ANEXOS</w:t>
      </w:r>
    </w:p>
    <w:p w14:paraId="4F3835BE" w14:textId="77777777" w:rsidR="008300F3" w:rsidRPr="003D6EED" w:rsidRDefault="008300F3">
      <w:pPr>
        <w:tabs>
          <w:tab w:val="center" w:pos="4419"/>
          <w:tab w:val="right" w:pos="8838"/>
        </w:tabs>
        <w:rPr>
          <w:szCs w:val="24"/>
          <w:lang w:val="es-AR"/>
        </w:rPr>
      </w:pPr>
    </w:p>
    <w:p w14:paraId="3A728C98" w14:textId="77777777" w:rsidR="008300F3" w:rsidRPr="003D6EED" w:rsidRDefault="008300F3">
      <w:pPr>
        <w:tabs>
          <w:tab w:val="center" w:pos="4419"/>
          <w:tab w:val="right" w:pos="8838"/>
        </w:tabs>
        <w:rPr>
          <w:szCs w:val="24"/>
          <w:shd w:val="clear" w:color="auto" w:fill="FFFF00"/>
          <w:lang w:val="es-AR"/>
        </w:rPr>
      </w:pPr>
      <w:r w:rsidRPr="003D6EED">
        <w:rPr>
          <w:szCs w:val="24"/>
          <w:lang w:val="es-AR"/>
        </w:rPr>
        <w:t>Los Anexos que forman parte de la presenta Acta son los siguientes:</w:t>
      </w:r>
    </w:p>
    <w:p w14:paraId="57888380" w14:textId="67549DF7" w:rsidR="008300F3" w:rsidRDefault="008300F3">
      <w:pPr>
        <w:tabs>
          <w:tab w:val="center" w:pos="4419"/>
          <w:tab w:val="right" w:pos="8838"/>
        </w:tabs>
        <w:rPr>
          <w:szCs w:val="24"/>
          <w:shd w:val="clear" w:color="auto" w:fill="FFFF00"/>
          <w:lang w:val="es-AR"/>
        </w:rPr>
      </w:pPr>
    </w:p>
    <w:p w14:paraId="343CF196" w14:textId="77777777" w:rsidR="003D6EED" w:rsidRPr="003D6EED" w:rsidRDefault="003D6EED">
      <w:pPr>
        <w:tabs>
          <w:tab w:val="center" w:pos="4419"/>
          <w:tab w:val="right" w:pos="8838"/>
        </w:tabs>
        <w:rPr>
          <w:szCs w:val="24"/>
          <w:shd w:val="clear" w:color="auto" w:fill="FFFF00"/>
          <w:lang w:val="es-AR"/>
        </w:rPr>
      </w:pPr>
    </w:p>
    <w:tbl>
      <w:tblPr>
        <w:tblW w:w="8751" w:type="dxa"/>
        <w:tblInd w:w="-15" w:type="dxa"/>
        <w:tblLayout w:type="fixed"/>
        <w:tblLook w:val="0000" w:firstRow="0" w:lastRow="0" w:firstColumn="0" w:lastColumn="0" w:noHBand="0" w:noVBand="0"/>
      </w:tblPr>
      <w:tblGrid>
        <w:gridCol w:w="1613"/>
        <w:gridCol w:w="7138"/>
      </w:tblGrid>
      <w:tr w:rsidR="008300F3" w:rsidRPr="003D6EED" w14:paraId="108B5656" w14:textId="77777777" w:rsidTr="003D6EED">
        <w:tc>
          <w:tcPr>
            <w:tcW w:w="1613" w:type="dxa"/>
            <w:tcBorders>
              <w:top w:val="single" w:sz="4" w:space="0" w:color="000000"/>
              <w:left w:val="single" w:sz="4" w:space="0" w:color="000000"/>
              <w:bottom w:val="single" w:sz="4" w:space="0" w:color="000000"/>
            </w:tcBorders>
            <w:shd w:val="clear" w:color="auto" w:fill="auto"/>
          </w:tcPr>
          <w:p w14:paraId="2B29AF00" w14:textId="77777777" w:rsidR="008300F3" w:rsidRPr="003D6EED" w:rsidRDefault="008300F3">
            <w:pPr>
              <w:tabs>
                <w:tab w:val="center" w:pos="4419"/>
                <w:tab w:val="right" w:pos="8838"/>
              </w:tabs>
              <w:rPr>
                <w:szCs w:val="24"/>
                <w:lang w:val="es-ES"/>
              </w:rPr>
            </w:pPr>
            <w:r w:rsidRPr="003D6EED">
              <w:rPr>
                <w:b/>
                <w:szCs w:val="24"/>
                <w:lang w:val="es-AR"/>
              </w:rPr>
              <w:t>Anexo I</w:t>
            </w:r>
          </w:p>
        </w:tc>
        <w:tc>
          <w:tcPr>
            <w:tcW w:w="7138" w:type="dxa"/>
            <w:tcBorders>
              <w:top w:val="single" w:sz="4" w:space="0" w:color="000000"/>
              <w:left w:val="single" w:sz="4" w:space="0" w:color="000000"/>
              <w:bottom w:val="single" w:sz="4" w:space="0" w:color="000000"/>
              <w:right w:val="single" w:sz="4" w:space="0" w:color="000000"/>
            </w:tcBorders>
            <w:shd w:val="clear" w:color="auto" w:fill="auto"/>
          </w:tcPr>
          <w:p w14:paraId="792B633F" w14:textId="77777777" w:rsidR="008300F3" w:rsidRPr="003D6EED" w:rsidRDefault="008300F3">
            <w:pPr>
              <w:tabs>
                <w:tab w:val="left" w:pos="1800"/>
                <w:tab w:val="center" w:pos="4419"/>
                <w:tab w:val="right" w:pos="8838"/>
              </w:tabs>
              <w:rPr>
                <w:szCs w:val="24"/>
              </w:rPr>
            </w:pPr>
            <w:r w:rsidRPr="003D6EED">
              <w:rPr>
                <w:szCs w:val="24"/>
                <w:lang w:val="es-ES"/>
              </w:rPr>
              <w:t>Lista de Participantes</w:t>
            </w:r>
          </w:p>
        </w:tc>
      </w:tr>
      <w:tr w:rsidR="008300F3" w:rsidRPr="003D6EED" w14:paraId="4013CFC6" w14:textId="77777777" w:rsidTr="003D6EED">
        <w:tc>
          <w:tcPr>
            <w:tcW w:w="1613" w:type="dxa"/>
            <w:tcBorders>
              <w:top w:val="single" w:sz="4" w:space="0" w:color="000000"/>
              <w:left w:val="single" w:sz="4" w:space="0" w:color="000000"/>
              <w:bottom w:val="single" w:sz="4" w:space="0" w:color="000000"/>
            </w:tcBorders>
            <w:shd w:val="clear" w:color="auto" w:fill="auto"/>
          </w:tcPr>
          <w:p w14:paraId="4C7BCAD4" w14:textId="77777777" w:rsidR="008300F3" w:rsidRPr="003D6EED" w:rsidRDefault="008300F3">
            <w:pPr>
              <w:tabs>
                <w:tab w:val="center" w:pos="4419"/>
                <w:tab w:val="right" w:pos="8838"/>
              </w:tabs>
              <w:rPr>
                <w:szCs w:val="24"/>
                <w:lang w:val="es-ES"/>
              </w:rPr>
            </w:pPr>
            <w:r w:rsidRPr="003D6EED">
              <w:rPr>
                <w:b/>
                <w:szCs w:val="24"/>
                <w:lang w:val="es-AR"/>
              </w:rPr>
              <w:t>Anexo II</w:t>
            </w:r>
          </w:p>
        </w:tc>
        <w:tc>
          <w:tcPr>
            <w:tcW w:w="7138" w:type="dxa"/>
            <w:tcBorders>
              <w:top w:val="single" w:sz="4" w:space="0" w:color="000000"/>
              <w:left w:val="single" w:sz="4" w:space="0" w:color="000000"/>
              <w:bottom w:val="single" w:sz="4" w:space="0" w:color="000000"/>
              <w:right w:val="single" w:sz="4" w:space="0" w:color="000000"/>
            </w:tcBorders>
            <w:shd w:val="clear" w:color="auto" w:fill="auto"/>
          </w:tcPr>
          <w:p w14:paraId="4420F996" w14:textId="77777777" w:rsidR="008300F3" w:rsidRPr="003D6EED" w:rsidRDefault="008300F3">
            <w:pPr>
              <w:tabs>
                <w:tab w:val="left" w:pos="1800"/>
                <w:tab w:val="center" w:pos="4419"/>
                <w:tab w:val="right" w:pos="8838"/>
              </w:tabs>
              <w:jc w:val="both"/>
              <w:rPr>
                <w:szCs w:val="24"/>
              </w:rPr>
            </w:pPr>
            <w:r w:rsidRPr="003D6EED">
              <w:rPr>
                <w:szCs w:val="24"/>
                <w:lang w:val="es-ES"/>
              </w:rPr>
              <w:t>Agenda</w:t>
            </w:r>
          </w:p>
        </w:tc>
      </w:tr>
      <w:tr w:rsidR="008300F3" w:rsidRPr="003D6EED" w14:paraId="148C83B4" w14:textId="77777777" w:rsidTr="003D6EED">
        <w:tc>
          <w:tcPr>
            <w:tcW w:w="1613" w:type="dxa"/>
            <w:tcBorders>
              <w:top w:val="single" w:sz="4" w:space="0" w:color="000000"/>
              <w:left w:val="single" w:sz="4" w:space="0" w:color="000000"/>
              <w:bottom w:val="single" w:sz="4" w:space="0" w:color="000000"/>
            </w:tcBorders>
            <w:shd w:val="clear" w:color="auto" w:fill="auto"/>
          </w:tcPr>
          <w:p w14:paraId="5316C86E" w14:textId="77777777" w:rsidR="008300F3" w:rsidRPr="003D6EED" w:rsidRDefault="008300F3">
            <w:pPr>
              <w:tabs>
                <w:tab w:val="center" w:pos="4419"/>
                <w:tab w:val="right" w:pos="8838"/>
              </w:tabs>
              <w:rPr>
                <w:bCs/>
                <w:szCs w:val="24"/>
                <w:lang w:val="es-ES"/>
              </w:rPr>
            </w:pPr>
            <w:r w:rsidRPr="003D6EED">
              <w:rPr>
                <w:b/>
                <w:szCs w:val="24"/>
                <w:lang w:val="es-AR"/>
              </w:rPr>
              <w:t>Anexo III</w:t>
            </w:r>
          </w:p>
        </w:tc>
        <w:tc>
          <w:tcPr>
            <w:tcW w:w="7138" w:type="dxa"/>
            <w:tcBorders>
              <w:top w:val="single" w:sz="4" w:space="0" w:color="000000"/>
              <w:left w:val="single" w:sz="4" w:space="0" w:color="000000"/>
              <w:bottom w:val="single" w:sz="4" w:space="0" w:color="000000"/>
              <w:right w:val="single" w:sz="4" w:space="0" w:color="000000"/>
            </w:tcBorders>
            <w:shd w:val="clear" w:color="auto" w:fill="auto"/>
          </w:tcPr>
          <w:p w14:paraId="2C13F436" w14:textId="77777777" w:rsidR="008300F3" w:rsidRPr="003D6EED" w:rsidRDefault="008300F3">
            <w:pPr>
              <w:jc w:val="both"/>
              <w:rPr>
                <w:szCs w:val="24"/>
              </w:rPr>
            </w:pPr>
            <w:r w:rsidRPr="003D6EED">
              <w:rPr>
                <w:bCs/>
                <w:szCs w:val="24"/>
                <w:lang w:val="es-ES"/>
              </w:rPr>
              <w:t>Resumen del Acta</w:t>
            </w:r>
          </w:p>
        </w:tc>
      </w:tr>
      <w:tr w:rsidR="008300F3" w:rsidRPr="003D6EED" w14:paraId="2F784ED5" w14:textId="77777777" w:rsidTr="003D6EED">
        <w:tc>
          <w:tcPr>
            <w:tcW w:w="1613" w:type="dxa"/>
            <w:tcBorders>
              <w:top w:val="single" w:sz="4" w:space="0" w:color="000000"/>
              <w:left w:val="single" w:sz="4" w:space="0" w:color="000000"/>
              <w:bottom w:val="single" w:sz="4" w:space="0" w:color="000000"/>
            </w:tcBorders>
            <w:shd w:val="clear" w:color="auto" w:fill="auto"/>
          </w:tcPr>
          <w:p w14:paraId="6DA539D3" w14:textId="77777777" w:rsidR="008300F3" w:rsidRPr="003D6EED" w:rsidRDefault="008300F3">
            <w:pPr>
              <w:tabs>
                <w:tab w:val="center" w:pos="4419"/>
                <w:tab w:val="right" w:pos="8838"/>
              </w:tabs>
              <w:rPr>
                <w:bCs/>
                <w:szCs w:val="24"/>
                <w:lang w:val="es-ES"/>
              </w:rPr>
            </w:pPr>
            <w:r w:rsidRPr="003D6EED">
              <w:rPr>
                <w:b/>
                <w:szCs w:val="24"/>
                <w:lang w:val="es-AR"/>
              </w:rPr>
              <w:t>Anexo IV</w:t>
            </w:r>
          </w:p>
        </w:tc>
        <w:tc>
          <w:tcPr>
            <w:tcW w:w="7138" w:type="dxa"/>
            <w:tcBorders>
              <w:top w:val="single" w:sz="4" w:space="0" w:color="000000"/>
              <w:left w:val="single" w:sz="4" w:space="0" w:color="000000"/>
              <w:bottom w:val="single" w:sz="4" w:space="0" w:color="000000"/>
              <w:right w:val="single" w:sz="4" w:space="0" w:color="000000"/>
            </w:tcBorders>
            <w:shd w:val="clear" w:color="auto" w:fill="auto"/>
          </w:tcPr>
          <w:p w14:paraId="76A83EA6" w14:textId="77777777" w:rsidR="008300F3" w:rsidRPr="003D6EED" w:rsidRDefault="008300F3">
            <w:pPr>
              <w:jc w:val="both"/>
              <w:rPr>
                <w:szCs w:val="24"/>
                <w:lang w:val="es-UY"/>
              </w:rPr>
            </w:pPr>
            <w:r w:rsidRPr="003D6EED">
              <w:rPr>
                <w:bCs/>
                <w:szCs w:val="24"/>
                <w:lang w:val="es-ES"/>
              </w:rPr>
              <w:t xml:space="preserve">Informe de las actividades en </w:t>
            </w:r>
            <w:r w:rsidRPr="003D6EED">
              <w:rPr>
                <w:bCs/>
                <w:color w:val="000000"/>
                <w:szCs w:val="24"/>
                <w:lang w:val="es-UY"/>
              </w:rPr>
              <w:t>conmemoración del 30° aniversario del MERCOSUR</w:t>
            </w:r>
          </w:p>
        </w:tc>
      </w:tr>
    </w:tbl>
    <w:p w14:paraId="68E0C46E" w14:textId="6D827669" w:rsidR="008300F3" w:rsidRDefault="008300F3">
      <w:pPr>
        <w:spacing w:after="160"/>
        <w:rPr>
          <w:rFonts w:eastAsia="Calibri"/>
          <w:b/>
          <w:bCs/>
          <w:szCs w:val="24"/>
          <w:lang w:val="es-UY"/>
        </w:rPr>
      </w:pPr>
    </w:p>
    <w:p w14:paraId="1344C787" w14:textId="50A75491" w:rsidR="003D6EED" w:rsidRDefault="003D6EED">
      <w:pPr>
        <w:spacing w:after="160"/>
        <w:rPr>
          <w:rFonts w:eastAsia="Calibri"/>
          <w:b/>
          <w:bCs/>
          <w:szCs w:val="24"/>
          <w:lang w:val="es-UY"/>
        </w:rPr>
      </w:pPr>
    </w:p>
    <w:p w14:paraId="3E64264D" w14:textId="15D67EE3" w:rsidR="003D6EED" w:rsidRDefault="003D6EED">
      <w:pPr>
        <w:spacing w:after="160"/>
        <w:rPr>
          <w:rFonts w:eastAsia="Calibri"/>
          <w:b/>
          <w:bCs/>
          <w:szCs w:val="24"/>
          <w:lang w:val="es-UY"/>
        </w:rPr>
      </w:pPr>
    </w:p>
    <w:p w14:paraId="60CE8608" w14:textId="6DF8CA41" w:rsidR="003D6EED" w:rsidRDefault="003D6EED">
      <w:pPr>
        <w:spacing w:after="160"/>
        <w:rPr>
          <w:rFonts w:eastAsia="Calibri"/>
          <w:b/>
          <w:bCs/>
          <w:szCs w:val="24"/>
          <w:lang w:val="es-UY"/>
        </w:rPr>
      </w:pPr>
    </w:p>
    <w:p w14:paraId="7C740849" w14:textId="0A6ECF49" w:rsidR="003D6EED" w:rsidRDefault="003D6EED">
      <w:pPr>
        <w:spacing w:after="160"/>
        <w:rPr>
          <w:rFonts w:eastAsia="Calibri"/>
          <w:b/>
          <w:bCs/>
          <w:szCs w:val="24"/>
          <w:lang w:val="es-UY"/>
        </w:rPr>
      </w:pPr>
    </w:p>
    <w:p w14:paraId="5812D33F" w14:textId="653F0CC6" w:rsidR="003D6EED" w:rsidRDefault="003D6EED">
      <w:pPr>
        <w:spacing w:after="160"/>
        <w:rPr>
          <w:rFonts w:eastAsia="Calibri"/>
          <w:b/>
          <w:bCs/>
          <w:szCs w:val="24"/>
          <w:lang w:val="es-UY"/>
        </w:rPr>
      </w:pPr>
    </w:p>
    <w:p w14:paraId="3ED9EF8E" w14:textId="49C7FC71" w:rsidR="003D6EED" w:rsidRDefault="003D6EED">
      <w:pPr>
        <w:spacing w:after="160"/>
        <w:rPr>
          <w:rFonts w:eastAsia="Calibri"/>
          <w:b/>
          <w:bCs/>
          <w:szCs w:val="24"/>
          <w:lang w:val="es-UY"/>
        </w:rPr>
      </w:pPr>
    </w:p>
    <w:p w14:paraId="182C5D6F" w14:textId="790931C1" w:rsidR="003D6EED" w:rsidRDefault="003D6EED">
      <w:pPr>
        <w:spacing w:after="160"/>
        <w:rPr>
          <w:rFonts w:eastAsia="Calibri"/>
          <w:b/>
          <w:bCs/>
          <w:szCs w:val="24"/>
          <w:lang w:val="es-UY"/>
        </w:rPr>
      </w:pPr>
    </w:p>
    <w:p w14:paraId="5135F70B" w14:textId="1E533957" w:rsidR="003D6EED" w:rsidRDefault="003D6EED">
      <w:pPr>
        <w:spacing w:after="160"/>
        <w:rPr>
          <w:rFonts w:eastAsia="Calibri"/>
          <w:b/>
          <w:bCs/>
          <w:szCs w:val="24"/>
          <w:lang w:val="es-UY"/>
        </w:rPr>
      </w:pPr>
    </w:p>
    <w:p w14:paraId="79CB77FF" w14:textId="77777777" w:rsidR="003D6EED" w:rsidRDefault="003D6EED">
      <w:pPr>
        <w:spacing w:after="160"/>
        <w:rPr>
          <w:rFonts w:eastAsia="Calibri"/>
          <w:b/>
          <w:bCs/>
          <w:szCs w:val="24"/>
          <w:lang w:val="es-UY"/>
        </w:rPr>
      </w:pPr>
    </w:p>
    <w:tbl>
      <w:tblPr>
        <w:tblW w:w="0" w:type="auto"/>
        <w:tblInd w:w="-15" w:type="dxa"/>
        <w:tblLayout w:type="fixed"/>
        <w:tblLook w:val="0000" w:firstRow="0" w:lastRow="0" w:firstColumn="0" w:lastColumn="0" w:noHBand="0" w:noVBand="0"/>
      </w:tblPr>
      <w:tblGrid>
        <w:gridCol w:w="1613"/>
        <w:gridCol w:w="7138"/>
      </w:tblGrid>
      <w:tr w:rsidR="003D6EED" w:rsidRPr="003D6EED" w14:paraId="2E33A49B" w14:textId="77777777" w:rsidTr="00F85F8F">
        <w:tc>
          <w:tcPr>
            <w:tcW w:w="1613" w:type="dxa"/>
            <w:tcBorders>
              <w:top w:val="single" w:sz="4" w:space="0" w:color="000000"/>
              <w:left w:val="single" w:sz="4" w:space="0" w:color="000000"/>
              <w:bottom w:val="single" w:sz="4" w:space="0" w:color="000000"/>
            </w:tcBorders>
            <w:shd w:val="clear" w:color="auto" w:fill="auto"/>
          </w:tcPr>
          <w:p w14:paraId="34FB3616" w14:textId="77777777" w:rsidR="003D6EED" w:rsidRPr="003D6EED" w:rsidRDefault="003D6EED" w:rsidP="00F85F8F">
            <w:pPr>
              <w:tabs>
                <w:tab w:val="center" w:pos="4419"/>
                <w:tab w:val="right" w:pos="8838"/>
              </w:tabs>
              <w:rPr>
                <w:bCs/>
                <w:szCs w:val="24"/>
                <w:lang w:val="es-ES"/>
              </w:rPr>
            </w:pPr>
            <w:r w:rsidRPr="003D6EED">
              <w:rPr>
                <w:b/>
                <w:szCs w:val="24"/>
                <w:lang w:val="es-AR"/>
              </w:rPr>
              <w:t>Anexo V</w:t>
            </w:r>
          </w:p>
        </w:tc>
        <w:tc>
          <w:tcPr>
            <w:tcW w:w="7138" w:type="dxa"/>
            <w:tcBorders>
              <w:top w:val="single" w:sz="4" w:space="0" w:color="000000"/>
              <w:left w:val="single" w:sz="4" w:space="0" w:color="000000"/>
              <w:bottom w:val="single" w:sz="4" w:space="0" w:color="000000"/>
              <w:right w:val="single" w:sz="4" w:space="0" w:color="000000"/>
            </w:tcBorders>
            <w:shd w:val="clear" w:color="auto" w:fill="auto"/>
          </w:tcPr>
          <w:p w14:paraId="2456BA3E" w14:textId="77777777" w:rsidR="003D6EED" w:rsidRPr="003D6EED" w:rsidRDefault="003D6EED" w:rsidP="00F85F8F">
            <w:pPr>
              <w:jc w:val="both"/>
              <w:rPr>
                <w:szCs w:val="24"/>
                <w:lang w:val="es-UY"/>
              </w:rPr>
            </w:pPr>
            <w:r w:rsidRPr="003D6EED">
              <w:rPr>
                <w:bCs/>
                <w:szCs w:val="24"/>
                <w:lang w:val="es-ES"/>
              </w:rPr>
              <w:t xml:space="preserve">Presentación: Infraestructura de Integración en el MERCOSUR </w:t>
            </w:r>
          </w:p>
        </w:tc>
      </w:tr>
    </w:tbl>
    <w:p w14:paraId="599D5C65" w14:textId="0DC77716" w:rsidR="003D6EED" w:rsidRDefault="003D6EED">
      <w:pPr>
        <w:spacing w:after="160"/>
        <w:rPr>
          <w:rFonts w:eastAsia="Calibri"/>
          <w:b/>
          <w:bCs/>
          <w:szCs w:val="24"/>
          <w:lang w:val="es-UY"/>
        </w:rPr>
      </w:pPr>
    </w:p>
    <w:p w14:paraId="38304DCD" w14:textId="30257DE7" w:rsidR="003D6EED" w:rsidRDefault="003D6EED">
      <w:pPr>
        <w:spacing w:after="160"/>
        <w:rPr>
          <w:rFonts w:eastAsia="Calibri"/>
          <w:b/>
          <w:bCs/>
          <w:szCs w:val="24"/>
          <w:lang w:val="es-UY"/>
        </w:rPr>
      </w:pPr>
    </w:p>
    <w:p w14:paraId="295BC4E3" w14:textId="409CF442" w:rsidR="003D6EED" w:rsidRDefault="003D6EED">
      <w:pPr>
        <w:spacing w:after="160"/>
        <w:rPr>
          <w:rFonts w:eastAsia="Calibri"/>
          <w:b/>
          <w:bCs/>
          <w:szCs w:val="24"/>
          <w:lang w:val="es-UY"/>
        </w:rPr>
      </w:pPr>
    </w:p>
    <w:p w14:paraId="60535FDE" w14:textId="7991A3F5" w:rsidR="003D6EED" w:rsidRDefault="003D6EED">
      <w:pPr>
        <w:spacing w:after="160"/>
        <w:rPr>
          <w:rFonts w:eastAsia="Calibri"/>
          <w:b/>
          <w:bCs/>
          <w:szCs w:val="24"/>
          <w:lang w:val="es-UY"/>
        </w:rPr>
      </w:pPr>
    </w:p>
    <w:p w14:paraId="634BE5D0" w14:textId="71BC477C" w:rsidR="003D6EED" w:rsidRDefault="003D6EED">
      <w:pPr>
        <w:spacing w:after="160"/>
        <w:rPr>
          <w:rFonts w:eastAsia="Calibri"/>
          <w:b/>
          <w:bCs/>
          <w:szCs w:val="24"/>
          <w:lang w:val="es-UY"/>
        </w:rPr>
      </w:pPr>
    </w:p>
    <w:p w14:paraId="5F0F419A" w14:textId="77777777" w:rsidR="003D6EED" w:rsidRDefault="003D6EED">
      <w:pPr>
        <w:spacing w:after="160"/>
        <w:rPr>
          <w:rFonts w:eastAsia="Calibri"/>
          <w:b/>
          <w:bCs/>
          <w:szCs w:val="24"/>
          <w:lang w:val="es-UY"/>
        </w:rPr>
      </w:pPr>
    </w:p>
    <w:tbl>
      <w:tblPr>
        <w:tblW w:w="0" w:type="auto"/>
        <w:tblInd w:w="70" w:type="dxa"/>
        <w:tblLayout w:type="fixed"/>
        <w:tblCellMar>
          <w:left w:w="70" w:type="dxa"/>
          <w:right w:w="70" w:type="dxa"/>
        </w:tblCellMar>
        <w:tblLook w:val="0000" w:firstRow="0" w:lastRow="0" w:firstColumn="0" w:lastColumn="0" w:noHBand="0" w:noVBand="0"/>
      </w:tblPr>
      <w:tblGrid>
        <w:gridCol w:w="4585"/>
        <w:gridCol w:w="4685"/>
      </w:tblGrid>
      <w:tr w:rsidR="003D6EED" w:rsidRPr="00151BC3" w14:paraId="7DB7B6B0" w14:textId="77777777" w:rsidTr="00F85F8F">
        <w:trPr>
          <w:trHeight w:val="1472"/>
        </w:trPr>
        <w:tc>
          <w:tcPr>
            <w:tcW w:w="4585" w:type="dxa"/>
            <w:shd w:val="clear" w:color="auto" w:fill="auto"/>
          </w:tcPr>
          <w:p w14:paraId="73D3C6A3" w14:textId="77777777" w:rsidR="003D6EED" w:rsidRPr="00151BC3" w:rsidRDefault="003D6EED" w:rsidP="00F85F8F">
            <w:pPr>
              <w:tabs>
                <w:tab w:val="left" w:pos="1418"/>
                <w:tab w:val="center" w:pos="4819"/>
                <w:tab w:val="right" w:pos="9071"/>
              </w:tabs>
              <w:jc w:val="both"/>
              <w:rPr>
                <w:szCs w:val="24"/>
                <w:lang w:val="es-UY"/>
              </w:rPr>
            </w:pPr>
            <w:r w:rsidRPr="00151BC3">
              <w:rPr>
                <w:b/>
                <w:bCs/>
                <w:szCs w:val="24"/>
                <w:lang w:val="es-UY"/>
              </w:rPr>
              <w:t>______________________________</w:t>
            </w:r>
          </w:p>
          <w:p w14:paraId="1E786383" w14:textId="77777777" w:rsidR="003D6EED" w:rsidRDefault="003D6EED" w:rsidP="00F85F8F">
            <w:pPr>
              <w:tabs>
                <w:tab w:val="center" w:pos="4819"/>
                <w:tab w:val="right" w:pos="9071"/>
              </w:tabs>
              <w:jc w:val="center"/>
              <w:rPr>
                <w:b/>
                <w:szCs w:val="24"/>
                <w:lang w:val="es-UY"/>
              </w:rPr>
            </w:pPr>
            <w:r>
              <w:rPr>
                <w:szCs w:val="24"/>
                <w:lang w:val="es-UY"/>
              </w:rPr>
              <w:t>Por la Delegación de Argentina</w:t>
            </w:r>
          </w:p>
          <w:p w14:paraId="0B8E5BA7" w14:textId="77777777" w:rsidR="003D6EED" w:rsidRPr="00151BC3" w:rsidRDefault="003D6EED" w:rsidP="00F85F8F">
            <w:pPr>
              <w:tabs>
                <w:tab w:val="center" w:pos="4819"/>
                <w:tab w:val="right" w:pos="9071"/>
              </w:tabs>
              <w:jc w:val="center"/>
              <w:rPr>
                <w:b/>
                <w:bCs/>
                <w:szCs w:val="24"/>
                <w:lang w:val="es-UY"/>
              </w:rPr>
            </w:pPr>
            <w:r>
              <w:rPr>
                <w:b/>
                <w:szCs w:val="24"/>
                <w:lang w:val="es-UY"/>
              </w:rPr>
              <w:t>Juan Valle Raleigh</w:t>
            </w:r>
          </w:p>
        </w:tc>
        <w:tc>
          <w:tcPr>
            <w:tcW w:w="4685" w:type="dxa"/>
            <w:shd w:val="clear" w:color="auto" w:fill="auto"/>
          </w:tcPr>
          <w:p w14:paraId="6F5EDEF2" w14:textId="77777777" w:rsidR="003D6EED" w:rsidRPr="00151BC3" w:rsidRDefault="003D6EED" w:rsidP="00F85F8F">
            <w:pPr>
              <w:tabs>
                <w:tab w:val="left" w:pos="1418"/>
                <w:tab w:val="center" w:pos="4819"/>
                <w:tab w:val="right" w:pos="9071"/>
              </w:tabs>
              <w:jc w:val="both"/>
              <w:rPr>
                <w:szCs w:val="24"/>
                <w:lang w:val="es-UY"/>
              </w:rPr>
            </w:pPr>
            <w:r w:rsidRPr="00151BC3">
              <w:rPr>
                <w:b/>
                <w:bCs/>
                <w:szCs w:val="24"/>
                <w:lang w:val="es-UY"/>
              </w:rPr>
              <w:t>______________________________</w:t>
            </w:r>
          </w:p>
          <w:p w14:paraId="259BDC7B" w14:textId="77777777" w:rsidR="003D6EED" w:rsidRPr="00151BC3" w:rsidRDefault="003D6EED" w:rsidP="00F85F8F">
            <w:pPr>
              <w:tabs>
                <w:tab w:val="center" w:pos="4819"/>
                <w:tab w:val="right" w:pos="9071"/>
              </w:tabs>
              <w:jc w:val="center"/>
              <w:rPr>
                <w:b/>
                <w:szCs w:val="24"/>
                <w:lang w:val="es-UY"/>
              </w:rPr>
            </w:pPr>
            <w:r w:rsidRPr="00151BC3">
              <w:rPr>
                <w:szCs w:val="24"/>
                <w:lang w:val="es-UY"/>
              </w:rPr>
              <w:t>Por la Delegación de Brasil</w:t>
            </w:r>
          </w:p>
          <w:p w14:paraId="67662A2E" w14:textId="77777777" w:rsidR="003D6EED" w:rsidRPr="00151BC3" w:rsidRDefault="003D6EED" w:rsidP="00F85F8F">
            <w:pPr>
              <w:tabs>
                <w:tab w:val="left" w:pos="1418"/>
                <w:tab w:val="center" w:pos="4819"/>
                <w:tab w:val="right" w:pos="9071"/>
              </w:tabs>
              <w:jc w:val="center"/>
              <w:rPr>
                <w:b/>
                <w:szCs w:val="24"/>
                <w:lang w:val="es-UY"/>
              </w:rPr>
            </w:pPr>
            <w:r w:rsidRPr="00151BC3">
              <w:rPr>
                <w:b/>
                <w:szCs w:val="24"/>
                <w:lang w:val="es-UY"/>
              </w:rPr>
              <w:t xml:space="preserve">Michel </w:t>
            </w:r>
            <w:proofErr w:type="spellStart"/>
            <w:r w:rsidRPr="00151BC3">
              <w:rPr>
                <w:b/>
                <w:szCs w:val="24"/>
                <w:lang w:val="es-UY"/>
              </w:rPr>
              <w:t>Arslanian</w:t>
            </w:r>
            <w:proofErr w:type="spellEnd"/>
            <w:r w:rsidRPr="00151BC3">
              <w:rPr>
                <w:b/>
                <w:szCs w:val="24"/>
                <w:lang w:val="es-UY"/>
              </w:rPr>
              <w:t xml:space="preserve"> Neto</w:t>
            </w:r>
          </w:p>
          <w:p w14:paraId="556D1C33" w14:textId="77777777" w:rsidR="003D6EED" w:rsidRPr="00151BC3" w:rsidRDefault="003D6EED" w:rsidP="00F85F8F">
            <w:pPr>
              <w:tabs>
                <w:tab w:val="left" w:pos="1418"/>
                <w:tab w:val="center" w:pos="4819"/>
                <w:tab w:val="right" w:pos="9071"/>
              </w:tabs>
              <w:jc w:val="center"/>
              <w:rPr>
                <w:b/>
                <w:szCs w:val="24"/>
                <w:lang w:val="es-UY"/>
              </w:rPr>
            </w:pPr>
          </w:p>
          <w:p w14:paraId="55DFA32C" w14:textId="77777777" w:rsidR="003D6EED" w:rsidRPr="00151BC3" w:rsidRDefault="003D6EED" w:rsidP="00F85F8F">
            <w:pPr>
              <w:tabs>
                <w:tab w:val="left" w:pos="1418"/>
                <w:tab w:val="center" w:pos="4819"/>
                <w:tab w:val="right" w:pos="9071"/>
              </w:tabs>
              <w:jc w:val="both"/>
              <w:rPr>
                <w:b/>
                <w:szCs w:val="24"/>
                <w:lang w:val="es-UY"/>
              </w:rPr>
            </w:pPr>
          </w:p>
          <w:p w14:paraId="7F83B63B" w14:textId="77777777" w:rsidR="003D6EED" w:rsidRPr="00151BC3" w:rsidRDefault="003D6EED" w:rsidP="00F85F8F">
            <w:pPr>
              <w:tabs>
                <w:tab w:val="left" w:pos="1418"/>
                <w:tab w:val="center" w:pos="4819"/>
                <w:tab w:val="right" w:pos="9071"/>
              </w:tabs>
              <w:jc w:val="both"/>
              <w:rPr>
                <w:b/>
                <w:szCs w:val="24"/>
                <w:lang w:val="es-UY"/>
              </w:rPr>
            </w:pPr>
          </w:p>
          <w:p w14:paraId="7AF3012C" w14:textId="77777777" w:rsidR="003D6EED" w:rsidRPr="00151BC3" w:rsidRDefault="003D6EED" w:rsidP="00F85F8F">
            <w:pPr>
              <w:tabs>
                <w:tab w:val="left" w:pos="1418"/>
                <w:tab w:val="center" w:pos="4819"/>
                <w:tab w:val="right" w:pos="9071"/>
              </w:tabs>
              <w:jc w:val="both"/>
              <w:rPr>
                <w:b/>
                <w:szCs w:val="24"/>
                <w:lang w:val="es-UY"/>
              </w:rPr>
            </w:pPr>
          </w:p>
          <w:p w14:paraId="5780EC0B" w14:textId="77777777" w:rsidR="003D6EED" w:rsidRPr="00151BC3" w:rsidRDefault="003D6EED" w:rsidP="00F85F8F">
            <w:pPr>
              <w:tabs>
                <w:tab w:val="left" w:pos="1418"/>
                <w:tab w:val="center" w:pos="4819"/>
                <w:tab w:val="right" w:pos="9071"/>
              </w:tabs>
              <w:jc w:val="both"/>
              <w:rPr>
                <w:b/>
                <w:szCs w:val="24"/>
                <w:lang w:val="es-UY"/>
              </w:rPr>
            </w:pPr>
          </w:p>
          <w:p w14:paraId="07EC53F7" w14:textId="77777777" w:rsidR="003D6EED" w:rsidRPr="00151BC3" w:rsidRDefault="003D6EED" w:rsidP="00F85F8F">
            <w:pPr>
              <w:tabs>
                <w:tab w:val="left" w:pos="1418"/>
                <w:tab w:val="center" w:pos="4819"/>
                <w:tab w:val="right" w:pos="9071"/>
              </w:tabs>
              <w:jc w:val="both"/>
              <w:rPr>
                <w:b/>
                <w:szCs w:val="24"/>
                <w:lang w:val="es-UY"/>
              </w:rPr>
            </w:pPr>
          </w:p>
          <w:p w14:paraId="105DE8C6" w14:textId="77777777" w:rsidR="003D6EED" w:rsidRPr="00151BC3" w:rsidRDefault="003D6EED" w:rsidP="00F85F8F">
            <w:pPr>
              <w:tabs>
                <w:tab w:val="left" w:pos="1418"/>
                <w:tab w:val="center" w:pos="4819"/>
                <w:tab w:val="right" w:pos="9071"/>
              </w:tabs>
              <w:jc w:val="both"/>
              <w:rPr>
                <w:b/>
                <w:szCs w:val="24"/>
                <w:lang w:val="es-UY"/>
              </w:rPr>
            </w:pPr>
          </w:p>
        </w:tc>
      </w:tr>
      <w:tr w:rsidR="003D6EED" w:rsidRPr="00151BC3" w14:paraId="40EBFCC7" w14:textId="77777777" w:rsidTr="00F85F8F">
        <w:trPr>
          <w:trHeight w:val="1699"/>
        </w:trPr>
        <w:tc>
          <w:tcPr>
            <w:tcW w:w="4585" w:type="dxa"/>
            <w:shd w:val="clear" w:color="auto" w:fill="auto"/>
          </w:tcPr>
          <w:p w14:paraId="0BE87813" w14:textId="77777777" w:rsidR="003D6EED" w:rsidRDefault="003D6EED" w:rsidP="00F85F8F">
            <w:pPr>
              <w:tabs>
                <w:tab w:val="left" w:pos="1418"/>
                <w:tab w:val="center" w:pos="4819"/>
                <w:tab w:val="right" w:pos="9071"/>
              </w:tabs>
              <w:jc w:val="both"/>
              <w:rPr>
                <w:szCs w:val="24"/>
                <w:lang w:val="es-UY"/>
              </w:rPr>
            </w:pPr>
            <w:r>
              <w:rPr>
                <w:b/>
                <w:bCs/>
                <w:szCs w:val="24"/>
                <w:lang w:val="es-UY"/>
              </w:rPr>
              <w:t>_______________________________</w:t>
            </w:r>
          </w:p>
          <w:p w14:paraId="7053275F" w14:textId="77777777" w:rsidR="003D6EED" w:rsidRDefault="003D6EED" w:rsidP="00F85F8F">
            <w:pPr>
              <w:tabs>
                <w:tab w:val="center" w:pos="4819"/>
                <w:tab w:val="right" w:pos="9071"/>
              </w:tabs>
              <w:jc w:val="center"/>
              <w:rPr>
                <w:b/>
                <w:szCs w:val="24"/>
                <w:lang w:val="es-UY"/>
              </w:rPr>
            </w:pPr>
            <w:r>
              <w:rPr>
                <w:szCs w:val="24"/>
                <w:lang w:val="es-UY"/>
              </w:rPr>
              <w:t>Por la Delegación de Paraguay</w:t>
            </w:r>
          </w:p>
          <w:p w14:paraId="411A69BD" w14:textId="77777777" w:rsidR="003D6EED" w:rsidRDefault="003D6EED" w:rsidP="00F85F8F">
            <w:pPr>
              <w:tabs>
                <w:tab w:val="left" w:pos="1418"/>
                <w:tab w:val="center" w:pos="4819"/>
                <w:tab w:val="right" w:pos="9071"/>
              </w:tabs>
              <w:jc w:val="center"/>
              <w:rPr>
                <w:szCs w:val="24"/>
                <w:lang w:val="es-UY"/>
              </w:rPr>
            </w:pPr>
            <w:r>
              <w:rPr>
                <w:b/>
                <w:szCs w:val="24"/>
                <w:lang w:val="es-UY"/>
              </w:rPr>
              <w:t>José Antonio Dos Santos</w:t>
            </w:r>
          </w:p>
          <w:p w14:paraId="2D5745D0" w14:textId="77777777" w:rsidR="003D6EED" w:rsidRDefault="003D6EED" w:rsidP="00F85F8F">
            <w:pPr>
              <w:tabs>
                <w:tab w:val="left" w:pos="1418"/>
                <w:tab w:val="center" w:pos="4819"/>
                <w:tab w:val="right" w:pos="9071"/>
              </w:tabs>
              <w:jc w:val="center"/>
              <w:rPr>
                <w:szCs w:val="24"/>
                <w:lang w:val="es-UY"/>
              </w:rPr>
            </w:pPr>
          </w:p>
          <w:p w14:paraId="081E015A" w14:textId="77777777" w:rsidR="003D6EED" w:rsidRDefault="003D6EED" w:rsidP="00F85F8F">
            <w:pPr>
              <w:tabs>
                <w:tab w:val="left" w:pos="1418"/>
                <w:tab w:val="center" w:pos="4819"/>
                <w:tab w:val="right" w:pos="9071"/>
              </w:tabs>
              <w:jc w:val="both"/>
              <w:rPr>
                <w:szCs w:val="24"/>
                <w:lang w:val="es-UY"/>
              </w:rPr>
            </w:pPr>
          </w:p>
          <w:p w14:paraId="0226836F" w14:textId="77777777" w:rsidR="003D6EED" w:rsidRDefault="003D6EED" w:rsidP="00F85F8F">
            <w:pPr>
              <w:tabs>
                <w:tab w:val="left" w:pos="1418"/>
                <w:tab w:val="center" w:pos="4819"/>
                <w:tab w:val="right" w:pos="9071"/>
              </w:tabs>
              <w:jc w:val="both"/>
              <w:rPr>
                <w:szCs w:val="24"/>
                <w:lang w:val="es-UY"/>
              </w:rPr>
            </w:pPr>
          </w:p>
          <w:p w14:paraId="1A8CF379" w14:textId="77777777" w:rsidR="003D6EED" w:rsidRDefault="003D6EED" w:rsidP="00F85F8F">
            <w:pPr>
              <w:tabs>
                <w:tab w:val="left" w:pos="1418"/>
                <w:tab w:val="center" w:pos="4819"/>
                <w:tab w:val="right" w:pos="9071"/>
              </w:tabs>
              <w:jc w:val="both"/>
              <w:rPr>
                <w:szCs w:val="24"/>
                <w:lang w:val="es-UY"/>
              </w:rPr>
            </w:pPr>
          </w:p>
          <w:p w14:paraId="2C651AA3" w14:textId="77777777" w:rsidR="003D6EED" w:rsidRDefault="003D6EED" w:rsidP="00F85F8F">
            <w:pPr>
              <w:tabs>
                <w:tab w:val="left" w:pos="1418"/>
                <w:tab w:val="center" w:pos="4819"/>
                <w:tab w:val="right" w:pos="9071"/>
              </w:tabs>
              <w:jc w:val="both"/>
              <w:rPr>
                <w:szCs w:val="24"/>
                <w:lang w:val="es-UY"/>
              </w:rPr>
            </w:pPr>
          </w:p>
          <w:p w14:paraId="3DBBBA1A" w14:textId="77777777" w:rsidR="003D6EED" w:rsidRDefault="003D6EED" w:rsidP="00F85F8F">
            <w:pPr>
              <w:tabs>
                <w:tab w:val="left" w:pos="1418"/>
                <w:tab w:val="center" w:pos="4819"/>
                <w:tab w:val="right" w:pos="9071"/>
              </w:tabs>
              <w:jc w:val="both"/>
              <w:rPr>
                <w:szCs w:val="24"/>
                <w:lang w:val="es-UY"/>
              </w:rPr>
            </w:pPr>
          </w:p>
          <w:p w14:paraId="65DF5DF2" w14:textId="77777777" w:rsidR="003D6EED" w:rsidRDefault="003D6EED" w:rsidP="00F85F8F">
            <w:pPr>
              <w:tabs>
                <w:tab w:val="center" w:pos="4819"/>
                <w:tab w:val="right" w:pos="9071"/>
              </w:tabs>
              <w:jc w:val="both"/>
              <w:rPr>
                <w:b/>
                <w:szCs w:val="24"/>
                <w:lang w:val="es-UY"/>
              </w:rPr>
            </w:pPr>
          </w:p>
          <w:p w14:paraId="4523F956" w14:textId="77777777" w:rsidR="003D6EED" w:rsidRDefault="003D6EED" w:rsidP="00F85F8F">
            <w:pPr>
              <w:tabs>
                <w:tab w:val="center" w:pos="4819"/>
                <w:tab w:val="right" w:pos="9071"/>
              </w:tabs>
              <w:jc w:val="both"/>
              <w:rPr>
                <w:b/>
                <w:szCs w:val="24"/>
                <w:lang w:val="es-UY"/>
              </w:rPr>
            </w:pPr>
          </w:p>
        </w:tc>
        <w:tc>
          <w:tcPr>
            <w:tcW w:w="4685" w:type="dxa"/>
            <w:shd w:val="clear" w:color="auto" w:fill="auto"/>
          </w:tcPr>
          <w:p w14:paraId="10212BB7" w14:textId="77777777" w:rsidR="003D6EED" w:rsidRDefault="003D6EED" w:rsidP="00F85F8F">
            <w:pPr>
              <w:tabs>
                <w:tab w:val="left" w:pos="1418"/>
                <w:tab w:val="center" w:pos="4819"/>
                <w:tab w:val="right" w:pos="9071"/>
              </w:tabs>
              <w:jc w:val="center"/>
              <w:rPr>
                <w:szCs w:val="24"/>
                <w:lang w:val="es-UY"/>
              </w:rPr>
            </w:pPr>
            <w:r>
              <w:rPr>
                <w:b/>
                <w:bCs/>
                <w:szCs w:val="24"/>
                <w:lang w:val="es-UY"/>
              </w:rPr>
              <w:t>______________________________</w:t>
            </w:r>
          </w:p>
          <w:p w14:paraId="6396CC4B" w14:textId="77777777" w:rsidR="003D6EED" w:rsidRDefault="003D6EED" w:rsidP="00F85F8F">
            <w:pPr>
              <w:tabs>
                <w:tab w:val="center" w:pos="4819"/>
                <w:tab w:val="right" w:pos="9071"/>
              </w:tabs>
              <w:jc w:val="center"/>
              <w:rPr>
                <w:b/>
                <w:szCs w:val="24"/>
                <w:lang w:val="es-UY"/>
              </w:rPr>
            </w:pPr>
            <w:r>
              <w:rPr>
                <w:szCs w:val="24"/>
                <w:lang w:val="es-UY"/>
              </w:rPr>
              <w:t>Por la Delegación de Uruguay</w:t>
            </w:r>
          </w:p>
          <w:p w14:paraId="2B2837A8" w14:textId="77777777" w:rsidR="003D6EED" w:rsidRPr="00151BC3" w:rsidRDefault="003D6EED" w:rsidP="00F85F8F">
            <w:pPr>
              <w:tabs>
                <w:tab w:val="left" w:pos="1418"/>
                <w:tab w:val="center" w:pos="4819"/>
                <w:tab w:val="right" w:pos="9071"/>
              </w:tabs>
              <w:jc w:val="center"/>
              <w:rPr>
                <w:lang w:val="es-UY"/>
              </w:rPr>
            </w:pPr>
            <w:r>
              <w:rPr>
                <w:b/>
                <w:szCs w:val="24"/>
                <w:lang w:val="es-UY"/>
              </w:rPr>
              <w:t>Ricardo González Arenas</w:t>
            </w:r>
          </w:p>
        </w:tc>
      </w:tr>
      <w:tr w:rsidR="003D6EED" w:rsidRPr="00151BC3" w14:paraId="72A1C5D1" w14:textId="77777777" w:rsidTr="00F85F8F">
        <w:trPr>
          <w:trHeight w:val="1472"/>
        </w:trPr>
        <w:tc>
          <w:tcPr>
            <w:tcW w:w="4585" w:type="dxa"/>
            <w:shd w:val="clear" w:color="auto" w:fill="auto"/>
          </w:tcPr>
          <w:p w14:paraId="384D227A" w14:textId="77777777" w:rsidR="003D6EED" w:rsidRPr="00151BC3" w:rsidRDefault="003D6EED" w:rsidP="00F85F8F">
            <w:pPr>
              <w:tabs>
                <w:tab w:val="left" w:pos="1418"/>
                <w:tab w:val="center" w:pos="4819"/>
                <w:tab w:val="right" w:pos="9071"/>
              </w:tabs>
              <w:jc w:val="both"/>
              <w:rPr>
                <w:szCs w:val="24"/>
                <w:lang w:val="es-UY"/>
              </w:rPr>
            </w:pPr>
            <w:r w:rsidRPr="00151BC3">
              <w:rPr>
                <w:b/>
                <w:bCs/>
                <w:szCs w:val="24"/>
                <w:lang w:val="es-UY"/>
              </w:rPr>
              <w:t>______________________________</w:t>
            </w:r>
          </w:p>
          <w:p w14:paraId="02308767" w14:textId="77777777" w:rsidR="003D6EED" w:rsidRDefault="003D6EED" w:rsidP="00F85F8F">
            <w:pPr>
              <w:tabs>
                <w:tab w:val="center" w:pos="4819"/>
                <w:tab w:val="right" w:pos="9071"/>
              </w:tabs>
              <w:jc w:val="center"/>
              <w:rPr>
                <w:b/>
                <w:szCs w:val="24"/>
                <w:lang w:val="es-UY"/>
              </w:rPr>
            </w:pPr>
            <w:r>
              <w:rPr>
                <w:szCs w:val="24"/>
                <w:lang w:val="es-UY"/>
              </w:rPr>
              <w:t>Por la Delegación de Bolivia</w:t>
            </w:r>
          </w:p>
          <w:p w14:paraId="1AC72F2C" w14:textId="77777777" w:rsidR="003D6EED" w:rsidRPr="00151BC3" w:rsidRDefault="003D6EED" w:rsidP="00F85F8F">
            <w:pPr>
              <w:tabs>
                <w:tab w:val="center" w:pos="4819"/>
                <w:tab w:val="right" w:pos="9071"/>
              </w:tabs>
              <w:jc w:val="center"/>
              <w:rPr>
                <w:b/>
                <w:szCs w:val="24"/>
                <w:lang w:val="es-UY"/>
              </w:rPr>
            </w:pPr>
            <w:r>
              <w:rPr>
                <w:b/>
                <w:szCs w:val="24"/>
                <w:lang w:val="es-UY"/>
              </w:rPr>
              <w:t>Nayeli Morales</w:t>
            </w:r>
          </w:p>
        </w:tc>
        <w:tc>
          <w:tcPr>
            <w:tcW w:w="4685" w:type="dxa"/>
            <w:shd w:val="clear" w:color="auto" w:fill="auto"/>
          </w:tcPr>
          <w:p w14:paraId="666959AA" w14:textId="77777777" w:rsidR="003D6EED" w:rsidRPr="00151BC3" w:rsidRDefault="003D6EED" w:rsidP="00F85F8F">
            <w:pPr>
              <w:tabs>
                <w:tab w:val="left" w:pos="1418"/>
                <w:tab w:val="center" w:pos="4819"/>
                <w:tab w:val="right" w:pos="9071"/>
              </w:tabs>
              <w:snapToGrid w:val="0"/>
              <w:jc w:val="both"/>
              <w:rPr>
                <w:b/>
                <w:szCs w:val="24"/>
                <w:lang w:val="es-UY"/>
              </w:rPr>
            </w:pPr>
          </w:p>
        </w:tc>
      </w:tr>
    </w:tbl>
    <w:p w14:paraId="4C043A5C" w14:textId="593FADFE" w:rsidR="003D6EED" w:rsidRDefault="003D6EED">
      <w:pPr>
        <w:spacing w:after="160"/>
        <w:rPr>
          <w:rFonts w:eastAsia="Calibri"/>
          <w:b/>
          <w:bCs/>
          <w:szCs w:val="24"/>
          <w:lang w:val="es-UY"/>
        </w:rPr>
      </w:pPr>
    </w:p>
    <w:p w14:paraId="7B02C98E" w14:textId="77777777" w:rsidR="003D6EED" w:rsidRPr="003D6EED" w:rsidRDefault="003D6EED">
      <w:pPr>
        <w:spacing w:after="160"/>
        <w:rPr>
          <w:rFonts w:eastAsia="Calibri"/>
          <w:b/>
          <w:bCs/>
          <w:szCs w:val="24"/>
          <w:lang w:val="es-UY"/>
        </w:rPr>
      </w:pPr>
    </w:p>
    <w:sectPr w:rsidR="003D6EED" w:rsidRPr="003D6EED">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680" w:footer="5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25D8D" w14:textId="77777777" w:rsidR="00B32A4F" w:rsidRDefault="00B32A4F">
      <w:r>
        <w:separator/>
      </w:r>
    </w:p>
  </w:endnote>
  <w:endnote w:type="continuationSeparator" w:id="0">
    <w:p w14:paraId="4926BD63" w14:textId="77777777" w:rsidR="00B32A4F" w:rsidRDefault="00B3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3B6A7" w14:textId="77777777" w:rsidR="00B36CA9" w:rsidRDefault="00B36C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8D30C" w14:textId="77777777" w:rsidR="00B36CA9" w:rsidRDefault="00B36CA9">
    <w:pPr>
      <w:pStyle w:val="Piedepgina"/>
      <w:jc w:val="right"/>
      <w:rPr>
        <w:lang w:val="es-UY"/>
      </w:rPr>
    </w:pPr>
    <w:r>
      <w:fldChar w:fldCharType="begin"/>
    </w:r>
    <w:r>
      <w:instrText xml:space="preserve"> PAGE </w:instrText>
    </w:r>
    <w:r>
      <w:fldChar w:fldCharType="separate"/>
    </w:r>
    <w:r w:rsidR="00C12EE6">
      <w:rPr>
        <w:noProof/>
      </w:rPr>
      <w:t>4</w:t>
    </w:r>
    <w:r>
      <w:fldChar w:fldCharType="end"/>
    </w:r>
  </w:p>
  <w:p w14:paraId="28F5312D" w14:textId="77777777" w:rsidR="00B36CA9" w:rsidRDefault="00B36CA9">
    <w:pPr>
      <w:pStyle w:val="Piedepgina"/>
      <w:rPr>
        <w:lang w:val="es-U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D3655" w14:textId="77777777" w:rsidR="00B36CA9" w:rsidRDefault="00B36C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6B95A" w14:textId="77777777" w:rsidR="00B32A4F" w:rsidRDefault="00B32A4F">
      <w:r>
        <w:separator/>
      </w:r>
    </w:p>
  </w:footnote>
  <w:footnote w:type="continuationSeparator" w:id="0">
    <w:p w14:paraId="6602FFB3" w14:textId="77777777" w:rsidR="00B32A4F" w:rsidRDefault="00B32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95E3" w14:textId="77777777" w:rsidR="00B36CA9" w:rsidRDefault="00B36C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C490" w14:textId="77777777" w:rsidR="00B36CA9" w:rsidRDefault="00B36CA9">
    <w:pPr>
      <w:pStyle w:val="Encabezado"/>
      <w:rPr>
        <w:lang w:val="es-UY"/>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B1DD0" w14:textId="77777777" w:rsidR="00B36CA9" w:rsidRDefault="00B36C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84CB546"/>
    <w:name w:val="WW8Num2"/>
    <w:lvl w:ilvl="0">
      <w:start w:val="1"/>
      <w:numFmt w:val="decimal"/>
      <w:lvlText w:val="%1."/>
      <w:lvlJc w:val="left"/>
      <w:pPr>
        <w:tabs>
          <w:tab w:val="num" w:pos="0"/>
        </w:tabs>
        <w:ind w:left="405" w:hanging="360"/>
      </w:pPr>
      <w:rPr>
        <w:rFonts w:ascii="Arial" w:eastAsia="Calibri" w:hAnsi="Arial" w:cs="Arial" w:hint="default"/>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0C"/>
    <w:rsid w:val="000557A8"/>
    <w:rsid w:val="000C7645"/>
    <w:rsid w:val="00151BC3"/>
    <w:rsid w:val="00172139"/>
    <w:rsid w:val="0018363D"/>
    <w:rsid w:val="001956FF"/>
    <w:rsid w:val="001B3586"/>
    <w:rsid w:val="00236916"/>
    <w:rsid w:val="00242E0F"/>
    <w:rsid w:val="00360B0D"/>
    <w:rsid w:val="003D6EED"/>
    <w:rsid w:val="0059510B"/>
    <w:rsid w:val="005B38F5"/>
    <w:rsid w:val="00635487"/>
    <w:rsid w:val="006F2E23"/>
    <w:rsid w:val="008300F3"/>
    <w:rsid w:val="008D6583"/>
    <w:rsid w:val="00991988"/>
    <w:rsid w:val="009D500F"/>
    <w:rsid w:val="00A7762B"/>
    <w:rsid w:val="00AE1141"/>
    <w:rsid w:val="00B32A4F"/>
    <w:rsid w:val="00B36CA9"/>
    <w:rsid w:val="00C12EE6"/>
    <w:rsid w:val="00C13771"/>
    <w:rsid w:val="00CF1179"/>
    <w:rsid w:val="00D86D0C"/>
    <w:rsid w:val="00DA40A7"/>
    <w:rsid w:val="00E22622"/>
    <w:rsid w:val="00E93FCA"/>
    <w:rsid w:val="00F21FF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2C7220C7"/>
  <w15:chartTrackingRefBased/>
  <w15:docId w15:val="{2DA90BF0-4882-174A-B9C4-46FA5DC7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val="pt-BR" w:eastAsia="ar-SA"/>
    </w:rPr>
  </w:style>
  <w:style w:type="paragraph" w:styleId="Ttulo1">
    <w:name w:val="heading 1"/>
    <w:basedOn w:val="Normal"/>
    <w:next w:val="Normal"/>
    <w:qFormat/>
    <w:pPr>
      <w:keepNext/>
      <w:widowControl w:val="0"/>
      <w:numPr>
        <w:numId w:val="1"/>
      </w:numPr>
      <w:outlineLvl w:val="0"/>
    </w:pPr>
    <w:rPr>
      <w:rFonts w:ascii="Monotype Corsiva" w:hAnsi="Monotype Corsiva" w:cs="Monotype Corsiva"/>
      <w:b/>
      <w:sz w:val="28"/>
      <w:lang w:val="es-MX"/>
    </w:rPr>
  </w:style>
  <w:style w:type="paragraph" w:styleId="Ttulo2">
    <w:name w:val="heading 2"/>
    <w:basedOn w:val="Normal"/>
    <w:next w:val="Normal"/>
    <w:qFormat/>
    <w:pPr>
      <w:keepNext/>
      <w:numPr>
        <w:ilvl w:val="1"/>
        <w:numId w:val="1"/>
      </w:numPr>
      <w:ind w:left="0" w:firstLine="567"/>
      <w:outlineLvl w:val="1"/>
    </w:pPr>
    <w:rPr>
      <w:b/>
      <w:lang w:val="es-MX"/>
    </w:rPr>
  </w:style>
  <w:style w:type="paragraph" w:styleId="Ttulo3">
    <w:name w:val="heading 3"/>
    <w:basedOn w:val="Normal"/>
    <w:next w:val="Normal"/>
    <w:qFormat/>
    <w:pPr>
      <w:keepNext/>
      <w:numPr>
        <w:ilvl w:val="2"/>
        <w:numId w:val="1"/>
      </w:numPr>
      <w:ind w:left="567" w:right="567" w:firstLine="0"/>
      <w:jc w:val="center"/>
      <w:outlineLvl w:val="2"/>
    </w:pPr>
    <w:rPr>
      <w:b/>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Calibri"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6z1">
    <w:name w:val="WW8Num6z1"/>
    <w:rPr>
      <w:b/>
      <w:bCs/>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ascii="Arial" w:eastAsia="Times New Roman" w:hAnsi="Arial" w:cs="Aria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rPr>
  </w:style>
  <w:style w:type="character" w:customStyle="1" w:styleId="WW8Num13z0">
    <w:name w:val="WW8Num13z0"/>
    <w:rPr>
      <w:rFonts w:ascii="Arial" w:eastAsia="Times New Roman" w:hAnsi="Arial" w:cs="Arial" w:hint="default"/>
      <w:b w:val="0"/>
      <w:bCs w:val="0"/>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rPr>
      <w:i w:val="0"/>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eastAsia="Times New Roman" w:hAnsi="Arial" w:cs="Arial" w:hint="default"/>
      <w:b w:val="0"/>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Arial" w:hAnsi="Arial" w:cs="Arial" w:hint="default"/>
      <w:b/>
    </w:rPr>
  </w:style>
  <w:style w:type="character" w:customStyle="1" w:styleId="WW8Num20z1">
    <w:name w:val="WW8Num20z1"/>
    <w:rPr>
      <w:rFonts w:hint="default"/>
      <w:b/>
    </w:rPr>
  </w:style>
  <w:style w:type="character" w:customStyle="1" w:styleId="WW8Num20z2">
    <w:name w:val="WW8Num20z2"/>
    <w:rPr>
      <w:rFonts w:hint="default"/>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3z0">
    <w:name w:val="WW8Num23z0"/>
    <w:rPr>
      <w:rFonts w:ascii="Arial" w:eastAsia="Times New Roman" w:hAnsi="Arial" w:cs="Arial" w:hint="default"/>
      <w:b w:val="0"/>
      <w:bCs/>
      <w:color w:val="auto"/>
    </w:rPr>
  </w:style>
  <w:style w:type="character" w:customStyle="1" w:styleId="WW8Num23z1">
    <w:name w:val="WW8Num23z1"/>
    <w:rPr>
      <w:rFonts w:ascii="Arial" w:eastAsia="Times New Roman" w:hAnsi="Arial" w:cs="Arial"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3z4">
    <w:name w:val="WW8Num23z4"/>
    <w:rPr>
      <w:rFonts w:ascii="Courier New" w:hAnsi="Courier New" w:cs="Courier New" w:hint="default"/>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Fuentedeprrafopredeter1">
    <w:name w:val="Fuente de párrafo predeter.1"/>
  </w:style>
  <w:style w:type="character" w:styleId="Hipervnculo">
    <w:name w:val="Hyperlink"/>
    <w:rPr>
      <w:color w:val="0000FF"/>
      <w:u w:val="single"/>
    </w:rPr>
  </w:style>
  <w:style w:type="character" w:customStyle="1" w:styleId="SangradetextonormalCar">
    <w:name w:val="Sangría de texto normal Car"/>
    <w:rPr>
      <w:sz w:val="24"/>
      <w:szCs w:val="24"/>
      <w:lang w:val="es-ES"/>
    </w:rPr>
  </w:style>
  <w:style w:type="character" w:customStyle="1" w:styleId="TextoindependienteCar">
    <w:name w:val="Texto independiente Car"/>
    <w:rPr>
      <w:sz w:val="24"/>
      <w:szCs w:val="24"/>
      <w:lang w:val="en-US"/>
    </w:rPr>
  </w:style>
  <w:style w:type="character" w:customStyle="1" w:styleId="PiedepginaCar">
    <w:name w:val="Pie de página Car"/>
    <w:rPr>
      <w:rFonts w:ascii="Arial" w:hAnsi="Arial" w:cs="Arial"/>
      <w:sz w:val="24"/>
      <w:lang w:val="pt-BR"/>
    </w:rPr>
  </w:style>
  <w:style w:type="character" w:customStyle="1" w:styleId="TextodegloboCar">
    <w:name w:val="Texto de globo Car"/>
    <w:rPr>
      <w:rFonts w:ascii="Tahoma" w:hAnsi="Tahoma" w:cs="Tahoma"/>
      <w:sz w:val="16"/>
      <w:szCs w:val="16"/>
      <w:lang w:val="pt-BR"/>
    </w:rPr>
  </w:style>
  <w:style w:type="character" w:customStyle="1" w:styleId="TtuloCar">
    <w:name w:val="Título Car"/>
    <w:rPr>
      <w:rFonts w:ascii="Cambria" w:eastAsia="Times New Roman" w:hAnsi="Cambria" w:cs="Times New Roman"/>
      <w:b/>
      <w:bCs/>
      <w:kern w:val="1"/>
      <w:sz w:val="32"/>
      <w:szCs w:val="32"/>
      <w:lang w:val="pt-BR"/>
    </w:rPr>
  </w:style>
  <w:style w:type="character" w:customStyle="1" w:styleId="normaltextrun">
    <w:name w:val="normaltextrun"/>
  </w:style>
  <w:style w:type="character" w:customStyle="1" w:styleId="eop">
    <w:name w:val="eop"/>
  </w:style>
  <w:style w:type="character" w:customStyle="1" w:styleId="TextocomentarioCar">
    <w:name w:val="Texto comentario Car"/>
    <w:rPr>
      <w:rFonts w:ascii="Arial" w:hAnsi="Arial" w:cs="Arial"/>
      <w:lang w:val="pt-BR"/>
    </w:rPr>
  </w:style>
  <w:style w:type="character" w:customStyle="1" w:styleId="Refdecomentario1">
    <w:name w:val="Ref. de comentario1"/>
    <w:rPr>
      <w:sz w:val="16"/>
      <w:szCs w:val="16"/>
    </w:rPr>
  </w:style>
  <w:style w:type="character" w:customStyle="1" w:styleId="TextonotapieCar">
    <w:name w:val="Texto nota pie Car"/>
    <w:uiPriority w:val="99"/>
    <w:rPr>
      <w:rFonts w:ascii="Calibri" w:hAnsi="Calibri" w:cs="Calibri"/>
      <w:lang w:val="es-AR"/>
    </w:rPr>
  </w:style>
  <w:style w:type="character" w:customStyle="1" w:styleId="FootnoteCharacters">
    <w:name w:val="Footnote Characters"/>
    <w:rPr>
      <w:vertAlign w:val="superscript"/>
    </w:rPr>
  </w:style>
  <w:style w:type="paragraph" w:customStyle="1" w:styleId="Heading">
    <w:name w:val="Heading"/>
    <w:basedOn w:val="Normal"/>
    <w:next w:val="Textoindependiente"/>
    <w:pPr>
      <w:keepNext/>
      <w:spacing w:before="240" w:after="120"/>
    </w:pPr>
    <w:rPr>
      <w:rFonts w:eastAsia="Microsoft YaHei" w:cs="Mangal"/>
      <w:sz w:val="28"/>
      <w:szCs w:val="28"/>
    </w:rPr>
  </w:style>
  <w:style w:type="paragraph" w:styleId="Textoindependiente">
    <w:name w:val="Body Text"/>
    <w:basedOn w:val="Normal"/>
    <w:pPr>
      <w:spacing w:after="120"/>
    </w:pPr>
    <w:rPr>
      <w:rFonts w:ascii="Times New Roman" w:hAnsi="Times New Roman" w:cs="Times New Roman"/>
      <w:szCs w:val="24"/>
      <w:lang w:val="en-US"/>
    </w:rPr>
  </w:style>
  <w:style w:type="paragraph" w:styleId="Lista">
    <w:name w:val="List"/>
    <w:basedOn w:val="Textoindependiente"/>
    <w:rPr>
      <w:rFonts w:cs="Mangal"/>
    </w:rPr>
  </w:style>
  <w:style w:type="paragraph" w:customStyle="1" w:styleId="Descripcin1">
    <w:name w:val="Descripción1"/>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Encabezado">
    <w:name w:val="header"/>
    <w:basedOn w:val="Normal"/>
    <w:pPr>
      <w:widowControl w:val="0"/>
      <w:tabs>
        <w:tab w:val="center" w:pos="4252"/>
        <w:tab w:val="right" w:pos="8504"/>
      </w:tabs>
    </w:pPr>
    <w:rPr>
      <w:lang w:val="es-ES_tradnl"/>
    </w:rPr>
  </w:style>
  <w:style w:type="paragraph" w:styleId="Piedepgina">
    <w:name w:val="footer"/>
    <w:basedOn w:val="Normal"/>
    <w:pPr>
      <w:tabs>
        <w:tab w:val="center" w:pos="4419"/>
        <w:tab w:val="right" w:pos="8838"/>
      </w:tabs>
    </w:pPr>
  </w:style>
  <w:style w:type="paragraph" w:customStyle="1" w:styleId="Textoindependiente21">
    <w:name w:val="Texto independiente 21"/>
    <w:basedOn w:val="Normal"/>
    <w:pPr>
      <w:jc w:val="both"/>
    </w:pPr>
    <w:rPr>
      <w:lang w:val="es-ES_tradnl"/>
    </w:rPr>
  </w:style>
  <w:style w:type="paragraph" w:customStyle="1" w:styleId="Textoindependiente31">
    <w:name w:val="Texto independiente 31"/>
    <w:basedOn w:val="Normal"/>
    <w:pPr>
      <w:jc w:val="center"/>
    </w:pPr>
    <w:rPr>
      <w:b/>
      <w:caps/>
      <w:sz w:val="36"/>
      <w:u w:val="thick"/>
      <w:lang w:val="es-UY"/>
    </w:rPr>
  </w:style>
  <w:style w:type="paragraph" w:styleId="Sangradetextonormal">
    <w:name w:val="Body Text Indent"/>
    <w:basedOn w:val="Normal"/>
    <w:pPr>
      <w:spacing w:after="120"/>
      <w:ind w:left="283"/>
    </w:pPr>
    <w:rPr>
      <w:rFonts w:ascii="Times New Roman" w:hAnsi="Times New Roman" w:cs="Times New Roman"/>
      <w:szCs w:val="24"/>
      <w:lang w:val="es-ES"/>
    </w:rPr>
  </w:style>
  <w:style w:type="paragraph" w:styleId="Prrafodelista">
    <w:name w:val="List Paragraph"/>
    <w:basedOn w:val="Normal"/>
    <w:qFormat/>
    <w:pPr>
      <w:ind w:left="708"/>
    </w:pPr>
    <w:rPr>
      <w:rFonts w:ascii="Times New Roman" w:hAnsi="Times New Roman" w:cs="Times New Roman"/>
      <w:szCs w:val="24"/>
      <w:lang w:val="en-US"/>
    </w:rPr>
  </w:style>
  <w:style w:type="paragraph" w:styleId="Textodeglobo">
    <w:name w:val="Balloon Text"/>
    <w:basedOn w:val="Normal"/>
    <w:rPr>
      <w:rFonts w:ascii="Tahoma" w:hAnsi="Tahoma" w:cs="Tahoma"/>
      <w:sz w:val="16"/>
      <w:szCs w:val="16"/>
    </w:rPr>
  </w:style>
  <w:style w:type="paragraph" w:styleId="Ttulo">
    <w:name w:val="Title"/>
    <w:basedOn w:val="Normal"/>
    <w:next w:val="Normal"/>
    <w:qFormat/>
    <w:pPr>
      <w:spacing w:before="240" w:after="60"/>
      <w:jc w:val="center"/>
    </w:pPr>
    <w:rPr>
      <w:rFonts w:ascii="Cambria" w:hAnsi="Cambria" w:cs="Times New Roman"/>
      <w:b/>
      <w:bCs/>
      <w:kern w:val="1"/>
      <w:sz w:val="32"/>
      <w:szCs w:val="32"/>
    </w:rPr>
  </w:style>
  <w:style w:type="paragraph" w:styleId="Subttulo">
    <w:name w:val="Subtitle"/>
    <w:basedOn w:val="Heading"/>
    <w:next w:val="Textoindependiente"/>
    <w:qFormat/>
    <w:pPr>
      <w:jc w:val="center"/>
    </w:pPr>
    <w:rPr>
      <w:i/>
      <w:iCs/>
    </w:rPr>
  </w:style>
  <w:style w:type="paragraph" w:customStyle="1" w:styleId="TIT2">
    <w:name w:val="TIT 2"/>
    <w:basedOn w:val="Ttulo"/>
    <w:pPr>
      <w:widowControl w:val="0"/>
      <w:autoSpaceDE w:val="0"/>
      <w:spacing w:before="20" w:after="20"/>
    </w:pPr>
    <w:rPr>
      <w:rFonts w:ascii="Times New Roman" w:hAnsi="Times New Roman"/>
      <w:bCs w:val="0"/>
      <w:sz w:val="24"/>
      <w:szCs w:val="20"/>
    </w:rPr>
  </w:style>
  <w:style w:type="paragraph" w:styleId="NormalWeb">
    <w:name w:val="Normal (Web)"/>
    <w:basedOn w:val="Normal"/>
    <w:pPr>
      <w:spacing w:before="280" w:after="280"/>
    </w:pPr>
    <w:rPr>
      <w:rFonts w:ascii="Times New Roman" w:hAnsi="Times New Roman" w:cs="Times New Roman"/>
      <w:sz w:val="20"/>
      <w:lang w:val="en-US"/>
    </w:rPr>
  </w:style>
  <w:style w:type="paragraph" w:styleId="Descripcin">
    <w:name w:val="caption"/>
    <w:basedOn w:val="Normal"/>
    <w:next w:val="Normal"/>
    <w:rPr>
      <w:b/>
      <w:bCs/>
      <w:sz w:val="20"/>
      <w:szCs w:val="24"/>
      <w:lang w:val="es-AR"/>
    </w:rPr>
  </w:style>
  <w:style w:type="paragraph" w:customStyle="1" w:styleId="paragraph">
    <w:name w:val="paragraph"/>
    <w:basedOn w:val="Normal"/>
    <w:pPr>
      <w:spacing w:before="100" w:after="100"/>
    </w:pPr>
    <w:rPr>
      <w:rFonts w:ascii="Times New Roman" w:hAnsi="Times New Roman" w:cs="Times New Roman"/>
      <w:szCs w:val="24"/>
      <w:lang w:val="es-UY"/>
    </w:rPr>
  </w:style>
  <w:style w:type="paragraph" w:customStyle="1" w:styleId="Textocomentario1">
    <w:name w:val="Texto comentario1"/>
    <w:basedOn w:val="Normal"/>
    <w:rPr>
      <w:sz w:val="20"/>
    </w:rPr>
  </w:style>
  <w:style w:type="paragraph" w:styleId="Textonotapie">
    <w:name w:val="footnote text"/>
    <w:basedOn w:val="Normal"/>
    <w:uiPriority w:val="99"/>
    <w:rPr>
      <w:rFonts w:ascii="Calibri" w:hAnsi="Calibri" w:cs="Times New Roman"/>
      <w:sz w:val="20"/>
      <w:lang w:val="es-AR"/>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oindependiente"/>
  </w:style>
  <w:style w:type="character" w:styleId="Refdenotaalpie">
    <w:name w:val="footnote reference"/>
    <w:uiPriority w:val="99"/>
    <w:semiHidden/>
    <w:unhideWhenUsed/>
    <w:rsid w:val="00AE11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1415</Words>
  <Characters>7788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SITUACION DE LA AUTENTICACIÓN DE LAS NORMAS MERCOSUR DE LOS AÑOS 1996 A 1991</vt:lpstr>
    </vt:vector>
  </TitlesOfParts>
  <Company>MREC</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SITUACION DE LA AUTENTICACIÓN DE LAS NORMAS MERCOSUR DE LOS AÑOS 1996 A 1991</dc:title>
  <dc:subject/>
  <dc:creator>Informatica</dc:creator>
  <cp:keywords/>
  <cp:lastModifiedBy>Cassia Pires</cp:lastModifiedBy>
  <cp:revision>2</cp:revision>
  <cp:lastPrinted>2020-12-15T21:51:00Z</cp:lastPrinted>
  <dcterms:created xsi:type="dcterms:W3CDTF">2021-06-08T15:16:00Z</dcterms:created>
  <dcterms:modified xsi:type="dcterms:W3CDTF">2021-06-08T15:16:00Z</dcterms:modified>
</cp:coreProperties>
</file>