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FFAD" w14:textId="77777777" w:rsidR="005F67B8" w:rsidRDefault="005F67B8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</w:pPr>
    </w:p>
    <w:p w14:paraId="45DF77B7" w14:textId="4DFE3F54" w:rsidR="005F67B8" w:rsidRDefault="005F67B8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</w:pPr>
      <w:r w:rsidRPr="00AA6E8B">
        <w:rPr>
          <w:noProof/>
        </w:rPr>
        <w:drawing>
          <wp:anchor distT="0" distB="0" distL="114300" distR="114300" simplePos="0" relativeHeight="251659264" behindDoc="0" locked="0" layoutInCell="1" allowOverlap="1" wp14:anchorId="7B166DBA" wp14:editId="4AF639D9">
            <wp:simplePos x="0" y="0"/>
            <wp:positionH relativeFrom="column">
              <wp:posOffset>4146550</wp:posOffset>
            </wp:positionH>
            <wp:positionV relativeFrom="paragraph">
              <wp:posOffset>5715</wp:posOffset>
            </wp:positionV>
            <wp:extent cx="1200150" cy="762000"/>
            <wp:effectExtent l="0" t="0" r="0" b="0"/>
            <wp:wrapSquare wrapText="bothSides"/>
            <wp:docPr id="13" name="image1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 descr="Logotipo&#10;&#10;El contenido generado por IA puede ser incorrec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A6E8B">
        <w:rPr>
          <w:noProof/>
        </w:rPr>
        <w:drawing>
          <wp:inline distT="0" distB="0" distL="0" distR="0" wp14:anchorId="62BE8DA3" wp14:editId="434C9482">
            <wp:extent cx="1143635" cy="725805"/>
            <wp:effectExtent l="0" t="0" r="0" b="0"/>
            <wp:docPr id="14" name="image2.png" descr="Imagen que contiene Gráf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 descr="Imagen que contiene Gráfico&#10;&#10;Descripción generada automá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 xml:space="preserve">                    </w:t>
      </w:r>
    </w:p>
    <w:p w14:paraId="415F75F6" w14:textId="77777777" w:rsidR="00821819" w:rsidRDefault="00821819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</w:pPr>
    </w:p>
    <w:p w14:paraId="49EA33E3" w14:textId="1B5FABAD" w:rsidR="004F4931" w:rsidRPr="00C84B01" w:rsidRDefault="004F4931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" w:cs="Arial"/>
          <w:b/>
          <w:bCs/>
          <w:color w:val="000000"/>
          <w:szCs w:val="24"/>
          <w:u w:color="000000"/>
          <w:bdr w:val="nil"/>
          <w:lang w:eastAsia="ko-KR"/>
        </w:rPr>
      </w:pPr>
      <w:r w:rsidRPr="00C84B01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>MERCOSUL/</w:t>
      </w:r>
      <w:r w:rsidR="003B62C8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>RMS/</w:t>
      </w:r>
      <w:r w:rsidRPr="00167982">
        <w:rPr>
          <w:rFonts w:eastAsia="Calibri" w:cs="Arial"/>
          <w:b/>
          <w:szCs w:val="24"/>
          <w:u w:color="000000"/>
          <w:bdr w:val="nil"/>
          <w:lang w:eastAsia="ko-KR"/>
        </w:rPr>
        <w:t>CI</w:t>
      </w:r>
      <w:r w:rsidR="00167982" w:rsidRPr="00167982">
        <w:rPr>
          <w:rFonts w:eastAsia="Calibri" w:cs="Arial"/>
          <w:b/>
          <w:szCs w:val="24"/>
          <w:u w:color="000000"/>
          <w:bdr w:val="nil"/>
          <w:lang w:eastAsia="ko-KR"/>
        </w:rPr>
        <w:t>E</w:t>
      </w:r>
      <w:r w:rsidRPr="00167982">
        <w:rPr>
          <w:rFonts w:eastAsia="Calibri" w:cs="Arial"/>
          <w:b/>
          <w:szCs w:val="24"/>
          <w:u w:color="000000"/>
          <w:bdr w:val="nil"/>
          <w:lang w:eastAsia="ko-KR"/>
        </w:rPr>
        <w:t>C</w:t>
      </w:r>
      <w:r w:rsidR="00167982">
        <w:rPr>
          <w:rFonts w:eastAsia="Calibri" w:cs="Arial"/>
          <w:b/>
          <w:szCs w:val="24"/>
          <w:u w:color="000000"/>
          <w:bdr w:val="nil"/>
          <w:lang w:eastAsia="ko-KR"/>
        </w:rPr>
        <w:t>PR</w:t>
      </w:r>
      <w:r w:rsidRPr="00C84B01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 xml:space="preserve">/ATA Nº </w:t>
      </w:r>
      <w:r w:rsidRPr="00C84B01">
        <w:rPr>
          <w:rFonts w:eastAsia="Calibri" w:cs="Arial"/>
          <w:b/>
          <w:szCs w:val="24"/>
          <w:u w:color="000000"/>
          <w:bdr w:val="nil"/>
          <w:lang w:eastAsia="ko-KR"/>
        </w:rPr>
        <w:t>0</w:t>
      </w:r>
      <w:r w:rsidR="005F67B8">
        <w:rPr>
          <w:rFonts w:eastAsia="Calibri" w:cs="Arial"/>
          <w:b/>
          <w:szCs w:val="24"/>
          <w:u w:color="000000"/>
          <w:bdr w:val="nil"/>
          <w:lang w:eastAsia="ko-KR"/>
        </w:rPr>
        <w:t>2</w:t>
      </w:r>
      <w:r w:rsidRPr="00C84B01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>/25</w:t>
      </w:r>
    </w:p>
    <w:p w14:paraId="6C4F5CF6" w14:textId="77777777" w:rsidR="00FF474F" w:rsidRPr="00C84B01" w:rsidRDefault="00FF474F" w:rsidP="004F4931">
      <w:pPr>
        <w:rPr>
          <w:rFonts w:cs="Arial"/>
          <w:b/>
          <w:szCs w:val="24"/>
        </w:rPr>
      </w:pPr>
    </w:p>
    <w:p w14:paraId="075257C1" w14:textId="473A29B2" w:rsidR="004F4931" w:rsidRPr="00C84B01" w:rsidRDefault="004F4931" w:rsidP="00BE0701">
      <w:pPr>
        <w:jc w:val="center"/>
        <w:rPr>
          <w:rFonts w:cs="Arial"/>
          <w:b/>
          <w:szCs w:val="24"/>
        </w:rPr>
      </w:pPr>
      <w:r w:rsidRPr="00C84B01">
        <w:rPr>
          <w:rFonts w:eastAsia="Arial" w:cs="Arial"/>
          <w:b/>
          <w:bCs/>
          <w:szCs w:val="24"/>
          <w:lang w:eastAsia="es-UY"/>
        </w:rPr>
        <w:t xml:space="preserve">REUNIÃO ORDINÁRIA DA </w:t>
      </w:r>
      <w:r w:rsidR="00BE0701" w:rsidRPr="00BE0701">
        <w:rPr>
          <w:rFonts w:eastAsia="Arial" w:cs="Arial"/>
          <w:b/>
          <w:bCs/>
          <w:caps/>
          <w:szCs w:val="24"/>
          <w:lang w:eastAsia="es-UY"/>
        </w:rPr>
        <w:t>Comissão Intergovernamental para promover a Expansão da Capacidade Produtiva Regional de Medicamentos, Imunizantes e Tecnologias de Saúde</w:t>
      </w:r>
      <w:r w:rsidR="00BE0701" w:rsidRPr="00BE0701">
        <w:rPr>
          <w:rFonts w:eastAsia="Arial" w:cs="Arial"/>
          <w:b/>
          <w:bCs/>
          <w:szCs w:val="24"/>
          <w:lang w:eastAsia="es-UY"/>
        </w:rPr>
        <w:t xml:space="preserve"> (CIECPR)</w:t>
      </w:r>
      <w:r w:rsidR="005F67B8">
        <w:rPr>
          <w:rFonts w:eastAsia="Arial" w:cs="Arial"/>
          <w:b/>
          <w:bCs/>
          <w:szCs w:val="24"/>
          <w:lang w:eastAsia="es-UY"/>
        </w:rPr>
        <w:t xml:space="preserve"> </w:t>
      </w:r>
      <w:r w:rsidRPr="00C84B01">
        <w:rPr>
          <w:rFonts w:eastAsia="Arial" w:cs="Arial"/>
          <w:b/>
          <w:bCs/>
          <w:szCs w:val="24"/>
          <w:lang w:eastAsia="es-UY"/>
        </w:rPr>
        <w:t xml:space="preserve">PREPARATÓRIA DA LVII REUNIÃO DE MINISTROS DA SAÚDE </w:t>
      </w:r>
    </w:p>
    <w:p w14:paraId="26386683" w14:textId="77777777" w:rsidR="00FF474F" w:rsidRPr="00C84B01" w:rsidRDefault="00FF474F" w:rsidP="004F4931">
      <w:pPr>
        <w:rPr>
          <w:rFonts w:cs="Arial"/>
          <w:b/>
          <w:szCs w:val="24"/>
        </w:rPr>
      </w:pPr>
    </w:p>
    <w:p w14:paraId="62C9D3BC" w14:textId="6355FC08" w:rsidR="004F4931" w:rsidRPr="00C84B01" w:rsidRDefault="004F4931" w:rsidP="004F4931">
      <w:pPr>
        <w:jc w:val="both"/>
        <w:rPr>
          <w:rFonts w:cs="Arial"/>
          <w:b/>
          <w:szCs w:val="24"/>
        </w:rPr>
      </w:pPr>
      <w:r w:rsidRPr="00C84B01">
        <w:rPr>
          <w:rFonts w:eastAsia="Arial" w:cs="Arial"/>
          <w:szCs w:val="24"/>
          <w:highlight w:val="white"/>
          <w:lang w:eastAsia="es-UY"/>
        </w:rPr>
        <w:t xml:space="preserve">Realizou-se, na cidade de </w:t>
      </w:r>
      <w:r w:rsidRPr="00C84B01">
        <w:rPr>
          <w:rFonts w:eastAsia="Arial" w:cs="Arial"/>
          <w:szCs w:val="24"/>
          <w:lang w:eastAsia="es-UY"/>
        </w:rPr>
        <w:t>Brasília</w:t>
      </w:r>
      <w:r w:rsidRPr="00C84B01">
        <w:rPr>
          <w:rFonts w:eastAsia="Arial" w:cs="Arial"/>
          <w:szCs w:val="24"/>
          <w:highlight w:val="white"/>
          <w:lang w:eastAsia="es-UY"/>
        </w:rPr>
        <w:t xml:space="preserve">, República Federativa do Brasil, entre os dias </w:t>
      </w:r>
      <w:r w:rsidRPr="00C84B01">
        <w:rPr>
          <w:rFonts w:eastAsia="Arial" w:cs="Arial"/>
          <w:szCs w:val="24"/>
          <w:lang w:eastAsia="es-UY"/>
        </w:rPr>
        <w:t xml:space="preserve">15 e 17 de setembro de 2025, a </w:t>
      </w:r>
      <w:r w:rsidRPr="00C84B01">
        <w:t xml:space="preserve">Reunião </w:t>
      </w:r>
      <w:r w:rsidRPr="00C84B01">
        <w:rPr>
          <w:rFonts w:eastAsia="Arial" w:cs="Arial"/>
          <w:color w:val="000000"/>
          <w:szCs w:val="24"/>
          <w:lang w:eastAsia="es-UY"/>
        </w:rPr>
        <w:t xml:space="preserve">Ordinária </w:t>
      </w:r>
      <w:r w:rsidRPr="00C84B01">
        <w:t xml:space="preserve">da </w:t>
      </w:r>
      <w:r w:rsidR="00BE0701">
        <w:t>Comissão Intergovernamental para promover a Expansão da Capacidade Produtiva Regional de Medicamentos, Imunizantes e Tecnologias de Saúde (</w:t>
      </w:r>
      <w:r w:rsidR="00BE0701" w:rsidRPr="00BE0701">
        <w:t>CIECPR)</w:t>
      </w:r>
      <w:r w:rsidRPr="00BE0701">
        <w:t>,</w:t>
      </w:r>
      <w:r w:rsidRPr="00C84B01">
        <w:rPr>
          <w:rFonts w:eastAsia="Arial" w:cs="Arial"/>
          <w:szCs w:val="24"/>
          <w:highlight w:val="white"/>
          <w:lang w:eastAsia="es-UY"/>
        </w:rPr>
        <w:t xml:space="preserve"> com a presença das delegações da </w:t>
      </w:r>
      <w:r w:rsidRPr="00C84B01">
        <w:t>Argentina, do Brasil, do Paraguai e do Uruguai</w:t>
      </w:r>
      <w:r w:rsidRPr="00C84B01">
        <w:rPr>
          <w:rFonts w:eastAsia="Arial" w:cs="Arial"/>
          <w:szCs w:val="24"/>
          <w:lang w:eastAsia="es-UY"/>
        </w:rPr>
        <w:t>.</w:t>
      </w:r>
    </w:p>
    <w:p w14:paraId="5F7F5E7C" w14:textId="77777777" w:rsidR="004F4931" w:rsidRPr="00C84B01" w:rsidRDefault="004F4931" w:rsidP="004F4931">
      <w:pPr>
        <w:jc w:val="both"/>
        <w:rPr>
          <w:rFonts w:eastAsia="Arial" w:cs="Arial"/>
          <w:szCs w:val="24"/>
          <w:lang w:eastAsia="es-UY"/>
        </w:rPr>
      </w:pPr>
    </w:p>
    <w:p w14:paraId="34589E1A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  <w:r w:rsidRPr="00C84B01">
        <w:rPr>
          <w:rFonts w:eastAsia="Arial" w:cs="Arial"/>
          <w:szCs w:val="24"/>
          <w:lang w:eastAsia="es-UY"/>
        </w:rPr>
        <w:t xml:space="preserve">A Lista de Participantes consta no </w:t>
      </w:r>
      <w:r w:rsidRPr="00C84B01">
        <w:rPr>
          <w:rFonts w:eastAsia="Arial" w:cs="Arial"/>
          <w:b/>
          <w:bCs/>
          <w:szCs w:val="24"/>
          <w:lang w:eastAsia="es-UY"/>
        </w:rPr>
        <w:t>Anexo I</w:t>
      </w:r>
      <w:r w:rsidRPr="00C84B01">
        <w:rPr>
          <w:rFonts w:eastAsia="Arial" w:cs="Arial"/>
          <w:szCs w:val="24"/>
          <w:lang w:eastAsia="es-UY"/>
        </w:rPr>
        <w:t>.</w:t>
      </w:r>
    </w:p>
    <w:p w14:paraId="46B62A3B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</w:p>
    <w:p w14:paraId="557EEAA8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  <w:r w:rsidRPr="00C84B01">
        <w:rPr>
          <w:rFonts w:eastAsia="Arial" w:cs="Arial"/>
          <w:szCs w:val="24"/>
          <w:lang w:eastAsia="es-UY"/>
        </w:rPr>
        <w:t xml:space="preserve">A Agenda consta no </w:t>
      </w:r>
      <w:r w:rsidRPr="00C84B01">
        <w:rPr>
          <w:rFonts w:eastAsia="Arial" w:cs="Arial"/>
          <w:b/>
          <w:bCs/>
          <w:szCs w:val="24"/>
          <w:lang w:eastAsia="es-UY"/>
        </w:rPr>
        <w:t>Anexo II</w:t>
      </w:r>
      <w:r w:rsidRPr="00C84B01">
        <w:rPr>
          <w:rFonts w:eastAsia="Arial" w:cs="Arial"/>
          <w:szCs w:val="24"/>
          <w:lang w:eastAsia="es-UY"/>
        </w:rPr>
        <w:t>.</w:t>
      </w:r>
    </w:p>
    <w:p w14:paraId="225960E9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</w:p>
    <w:p w14:paraId="59E794BF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  <w:r w:rsidRPr="00C84B01">
        <w:rPr>
          <w:rFonts w:eastAsia="Arial" w:cs="Arial"/>
          <w:szCs w:val="24"/>
          <w:lang w:eastAsia="es-UY"/>
        </w:rPr>
        <w:t>Durante a reunião, trataram-se os seguintes temas:</w:t>
      </w:r>
    </w:p>
    <w:p w14:paraId="40198E46" w14:textId="77777777" w:rsidR="004F4931" w:rsidRDefault="004F4931"/>
    <w:p w14:paraId="74C4C4E2" w14:textId="77777777" w:rsidR="00821819" w:rsidRDefault="00821819"/>
    <w:p w14:paraId="487A7A9D" w14:textId="77777777" w:rsidR="005F67B8" w:rsidRPr="00C84B01" w:rsidRDefault="005F67B8"/>
    <w:p w14:paraId="0FF4D7E3" w14:textId="25114FB4" w:rsidR="004F4931" w:rsidRPr="00C84B01" w:rsidRDefault="0077517E" w:rsidP="0077517E">
      <w:pPr>
        <w:pStyle w:val="Prrafodelista"/>
        <w:numPr>
          <w:ilvl w:val="0"/>
          <w:numId w:val="1"/>
        </w:numPr>
        <w:ind w:left="709" w:hanging="720"/>
        <w:jc w:val="both"/>
        <w:rPr>
          <w:b/>
          <w:bCs/>
        </w:rPr>
      </w:pPr>
      <w:r w:rsidRPr="00C84B01">
        <w:rPr>
          <w:b/>
          <w:bCs/>
        </w:rPr>
        <w:t>APROVAÇÃO DA AGENDA</w:t>
      </w:r>
    </w:p>
    <w:p w14:paraId="459DE915" w14:textId="77777777" w:rsidR="004F4931" w:rsidRPr="00C84B01" w:rsidRDefault="004F4931" w:rsidP="004F4931">
      <w:pPr>
        <w:pStyle w:val="Prrafodelista"/>
        <w:ind w:left="709"/>
      </w:pPr>
    </w:p>
    <w:p w14:paraId="7893DAE5" w14:textId="1D541391" w:rsidR="00614C9A" w:rsidRDefault="005A620C" w:rsidP="005A620C">
      <w:pPr>
        <w:jc w:val="both"/>
      </w:pPr>
      <w:r>
        <w:t xml:space="preserve">As delegações aprovaram a agenda que consta </w:t>
      </w:r>
      <w:r w:rsidR="006A1916">
        <w:t>no Anexo correspondente</w:t>
      </w:r>
      <w:r>
        <w:t>.</w:t>
      </w:r>
    </w:p>
    <w:p w14:paraId="74D37AF0" w14:textId="77777777" w:rsidR="005A620C" w:rsidRDefault="005A620C" w:rsidP="005A620C">
      <w:pPr>
        <w:jc w:val="both"/>
      </w:pPr>
    </w:p>
    <w:p w14:paraId="1B039D06" w14:textId="77777777" w:rsidR="00821819" w:rsidRDefault="00821819" w:rsidP="005A620C">
      <w:pPr>
        <w:jc w:val="both"/>
      </w:pPr>
    </w:p>
    <w:p w14:paraId="3ABE0C12" w14:textId="77777777" w:rsidR="005F67B8" w:rsidRDefault="005F67B8" w:rsidP="005A620C">
      <w:pPr>
        <w:jc w:val="both"/>
      </w:pPr>
    </w:p>
    <w:p w14:paraId="629C2B5E" w14:textId="77777777" w:rsidR="003F21FC" w:rsidRPr="003F21FC" w:rsidRDefault="003F21FC" w:rsidP="0012006B">
      <w:pPr>
        <w:pStyle w:val="Prrafodelista"/>
        <w:numPr>
          <w:ilvl w:val="0"/>
          <w:numId w:val="1"/>
        </w:numPr>
        <w:ind w:left="709" w:hanging="720"/>
        <w:jc w:val="both"/>
        <w:rPr>
          <w:b/>
          <w:bCs/>
        </w:rPr>
      </w:pPr>
      <w:r w:rsidRPr="003F21FC">
        <w:rPr>
          <w:b/>
          <w:bCs/>
        </w:rPr>
        <w:t>TÓPICOS DE DISCUSSÃO DA AGENDA</w:t>
      </w:r>
    </w:p>
    <w:p w14:paraId="1E2A6298" w14:textId="77777777" w:rsidR="003F21FC" w:rsidRDefault="003F21FC" w:rsidP="003F21FC">
      <w:pPr>
        <w:ind w:left="-11"/>
        <w:jc w:val="both"/>
      </w:pPr>
    </w:p>
    <w:p w14:paraId="34D11C71" w14:textId="7664AE68" w:rsidR="00244AF4" w:rsidRDefault="007C6F29" w:rsidP="003F21FC">
      <w:pPr>
        <w:ind w:left="-11"/>
        <w:jc w:val="both"/>
      </w:pPr>
      <w:r>
        <w:t>Inicialmente</w:t>
      </w:r>
      <w:r w:rsidR="00244AF4">
        <w:t>,</w:t>
      </w:r>
      <w:r>
        <w:t xml:space="preserve"> </w:t>
      </w:r>
      <w:r w:rsidR="00244AF4">
        <w:t xml:space="preserve">a </w:t>
      </w:r>
      <w:r w:rsidR="005F67B8">
        <w:t>d</w:t>
      </w:r>
      <w:r w:rsidR="00244AF4">
        <w:t xml:space="preserve">elegação brasileira apresentou </w:t>
      </w:r>
      <w:r>
        <w:t xml:space="preserve">o relatório </w:t>
      </w:r>
      <w:r w:rsidR="0012006B" w:rsidRPr="0012006B">
        <w:t>d</w:t>
      </w:r>
      <w:r>
        <w:t>a</w:t>
      </w:r>
      <w:r w:rsidR="0012006B" w:rsidRPr="0012006B">
        <w:t xml:space="preserve"> 2ª edição do Curso de Desenvolvimento e</w:t>
      </w:r>
      <w:r w:rsidR="0012006B">
        <w:t xml:space="preserve"> </w:t>
      </w:r>
      <w:r w:rsidR="0012006B" w:rsidRPr="0012006B">
        <w:t>Produção de Vacinas,</w:t>
      </w:r>
      <w:r>
        <w:t xml:space="preserve"> </w:t>
      </w:r>
      <w:r w:rsidR="0012006B" w:rsidRPr="0012006B">
        <w:t>parceria da F</w:t>
      </w:r>
      <w:r w:rsidR="00D2527D">
        <w:t>undação Oswaldo C</w:t>
      </w:r>
      <w:r w:rsidR="0012006B" w:rsidRPr="0012006B">
        <w:t>ruz</w:t>
      </w:r>
      <w:r w:rsidR="00D2527D">
        <w:t xml:space="preserve"> (Fiocruz)</w:t>
      </w:r>
      <w:r w:rsidR="0012006B" w:rsidRPr="0012006B">
        <w:t xml:space="preserve">, </w:t>
      </w:r>
      <w:r w:rsidR="001B3F25" w:rsidRPr="0012006B">
        <w:t>Instituto</w:t>
      </w:r>
      <w:r w:rsidR="0012006B" w:rsidRPr="0012006B">
        <w:t xml:space="preserve"> Butantan e</w:t>
      </w:r>
      <w:r w:rsidR="0012006B">
        <w:t xml:space="preserve"> </w:t>
      </w:r>
      <w:r w:rsidR="0012006B" w:rsidRPr="0012006B">
        <w:t>Organização Pan-Americana da Saúde (OPAS)</w:t>
      </w:r>
      <w:r w:rsidR="00FA528D">
        <w:t xml:space="preserve"> </w:t>
      </w:r>
      <w:r w:rsidR="00FA528D" w:rsidRPr="00FA4CE0">
        <w:rPr>
          <w:b/>
          <w:bCs/>
        </w:rPr>
        <w:t>(Anexo IV)</w:t>
      </w:r>
      <w:r w:rsidR="0012006B" w:rsidRPr="0012006B">
        <w:t>.</w:t>
      </w:r>
      <w:r w:rsidR="00EB0C5A">
        <w:t xml:space="preserve"> Este curso é uma iniciativa desta comissão acordada em reuniões ant</w:t>
      </w:r>
      <w:r w:rsidR="00244AF4">
        <w:t xml:space="preserve">eriores e registrou-se que esta ação foi </w:t>
      </w:r>
      <w:r w:rsidR="006A1916">
        <w:t>bem-sucedida</w:t>
      </w:r>
      <w:r w:rsidR="00244AF4">
        <w:t>.</w:t>
      </w:r>
    </w:p>
    <w:p w14:paraId="401F0743" w14:textId="77777777" w:rsidR="006E70E9" w:rsidRDefault="006E70E9" w:rsidP="003F21FC">
      <w:pPr>
        <w:ind w:left="-11"/>
        <w:jc w:val="both"/>
      </w:pPr>
    </w:p>
    <w:p w14:paraId="123483FB" w14:textId="77777777" w:rsidR="00FA4CE0" w:rsidRDefault="00FA4CE0" w:rsidP="003F21FC">
      <w:pPr>
        <w:ind w:left="-11"/>
        <w:jc w:val="both"/>
      </w:pPr>
    </w:p>
    <w:p w14:paraId="40EBB3D1" w14:textId="77777777" w:rsidR="00FA4CE0" w:rsidRDefault="00FA4CE0" w:rsidP="003F21FC">
      <w:pPr>
        <w:ind w:left="-11"/>
        <w:jc w:val="both"/>
      </w:pPr>
    </w:p>
    <w:p w14:paraId="1266B406" w14:textId="77777777" w:rsidR="00FA4CE0" w:rsidRDefault="00FA4CE0" w:rsidP="003F21FC">
      <w:pPr>
        <w:ind w:left="-11"/>
        <w:jc w:val="both"/>
      </w:pPr>
    </w:p>
    <w:p w14:paraId="7493A068" w14:textId="77777777" w:rsidR="00FA4CE0" w:rsidRDefault="00FA4CE0" w:rsidP="003F21FC">
      <w:pPr>
        <w:ind w:left="-11"/>
        <w:jc w:val="both"/>
      </w:pPr>
    </w:p>
    <w:sdt>
      <w:sdtPr>
        <w:id w:val="2113006622"/>
        <w:docPartObj>
          <w:docPartGallery w:val="Page Numbers (Bottom of Page)"/>
          <w:docPartUnique/>
        </w:docPartObj>
      </w:sdtPr>
      <w:sdtEndPr/>
      <w:sdtContent>
        <w:p w14:paraId="59117C71" w14:textId="77777777" w:rsidR="00FA4CE0" w:rsidRPr="00C859E6" w:rsidRDefault="00FA4CE0" w:rsidP="00FA4CE0">
          <w:pPr>
            <w:tabs>
              <w:tab w:val="center" w:pos="4419"/>
              <w:tab w:val="right" w:pos="8838"/>
            </w:tabs>
            <w:jc w:val="center"/>
            <w:rPr>
              <w:b/>
              <w:i/>
              <w:sz w:val="16"/>
              <w:szCs w:val="16"/>
              <w:lang w:val="es-UY"/>
            </w:rPr>
          </w:pPr>
          <w:r w:rsidRPr="00C859E6">
            <w:rPr>
              <w:b/>
              <w:i/>
              <w:sz w:val="16"/>
              <w:szCs w:val="16"/>
              <w:lang w:val="es-UY"/>
            </w:rPr>
            <w:t>Secretaría del MERCOSUR</w:t>
          </w:r>
        </w:p>
        <w:p w14:paraId="0EDFE8C0" w14:textId="77777777" w:rsidR="00FA4CE0" w:rsidRPr="00C859E6" w:rsidRDefault="00FA4CE0" w:rsidP="00FA4CE0">
          <w:pPr>
            <w:tabs>
              <w:tab w:val="center" w:pos="4419"/>
              <w:tab w:val="right" w:pos="8838"/>
            </w:tabs>
            <w:jc w:val="center"/>
            <w:rPr>
              <w:b/>
              <w:sz w:val="16"/>
              <w:szCs w:val="16"/>
              <w:lang w:val="es-UY"/>
            </w:rPr>
          </w:pPr>
          <w:r w:rsidRPr="00C859E6">
            <w:rPr>
              <w:b/>
              <w:sz w:val="16"/>
              <w:szCs w:val="16"/>
              <w:lang w:val="es-UY"/>
            </w:rPr>
            <w:t>Archivo Oficial</w:t>
          </w:r>
        </w:p>
        <w:p w14:paraId="3EF0BE3B" w14:textId="77777777" w:rsidR="00FA4CE0" w:rsidRPr="003E4D22" w:rsidRDefault="00FA4CE0" w:rsidP="00FA4CE0">
          <w:pPr>
            <w:pStyle w:val="Piedepgina"/>
            <w:jc w:val="center"/>
            <w:rPr>
              <w:lang w:val="es-UY" w:eastAsia="es-UY"/>
            </w:rPr>
          </w:pPr>
          <w:r w:rsidRPr="00C859E6">
            <w:rPr>
              <w:sz w:val="16"/>
              <w:szCs w:val="16"/>
              <w:lang w:val="es-UY"/>
            </w:rPr>
            <w:t xml:space="preserve">www.mercosur.int </w:t>
          </w:r>
        </w:p>
      </w:sdtContent>
    </w:sdt>
    <w:p w14:paraId="238006E9" w14:textId="77777777" w:rsidR="00FA4CE0" w:rsidRPr="00FA4CE0" w:rsidRDefault="00FA4CE0" w:rsidP="00D43FF9">
      <w:pPr>
        <w:ind w:left="-11"/>
        <w:jc w:val="both"/>
        <w:rPr>
          <w:lang w:val="es-UY"/>
        </w:rPr>
      </w:pPr>
    </w:p>
    <w:p w14:paraId="38138297" w14:textId="79D9618B" w:rsidR="00D43FF9" w:rsidRDefault="00E9520C" w:rsidP="00D43FF9">
      <w:pPr>
        <w:ind w:left="-11"/>
        <w:jc w:val="both"/>
      </w:pPr>
      <w:r>
        <w:lastRenderedPageBreak/>
        <w:t>Em continuidade, o representante brasileiro informou que o curso se conclui</w:t>
      </w:r>
      <w:r w:rsidR="001F0DE8">
        <w:t xml:space="preserve">u </w:t>
      </w:r>
      <w:r>
        <w:t>com a proposta de realização de seminários mensais</w:t>
      </w:r>
      <w:r w:rsidR="008C60C2">
        <w:t>, a serem implementados,</w:t>
      </w:r>
      <w:r>
        <w:t xml:space="preserve"> </w:t>
      </w:r>
      <w:r w:rsidR="00B31DB0">
        <w:t>com participação de alunos das duas edições do curso promovido no âmbito de CIECPR.</w:t>
      </w:r>
      <w:r w:rsidR="001F0DE8">
        <w:t xml:space="preserve"> </w:t>
      </w:r>
      <w:r w:rsidR="007E4675">
        <w:t xml:space="preserve">As discussões se estenderam sobre os avanços </w:t>
      </w:r>
      <w:r w:rsidR="00E31CF1">
        <w:t xml:space="preserve">para a </w:t>
      </w:r>
      <w:r w:rsidR="007E4675">
        <w:t>realização de próximas edições do curso</w:t>
      </w:r>
      <w:r w:rsidR="00D43FF9">
        <w:t>, conforme manifestações das delegações</w:t>
      </w:r>
      <w:r w:rsidR="001F0DE8">
        <w:t>.</w:t>
      </w:r>
    </w:p>
    <w:p w14:paraId="33A6F19F" w14:textId="77777777" w:rsidR="006A1916" w:rsidRPr="003B62C8" w:rsidRDefault="006A1916" w:rsidP="00FA4CE0">
      <w:pPr>
        <w:jc w:val="both"/>
      </w:pPr>
    </w:p>
    <w:p w14:paraId="2F551F29" w14:textId="1CA69E83" w:rsidR="00D43FF9" w:rsidRDefault="007F6709" w:rsidP="00D43FF9">
      <w:pPr>
        <w:ind w:left="-11"/>
        <w:jc w:val="both"/>
      </w:pPr>
      <w:r>
        <w:t xml:space="preserve">O representante do Uruguai se manifestou a </w:t>
      </w:r>
      <w:r w:rsidR="00D82890">
        <w:t>favor da continuidade de próximas edições com ampliação de tópicos</w:t>
      </w:r>
      <w:r w:rsidR="00E922BF">
        <w:t xml:space="preserve"> para além do desenvolvimento de vacinas, como por exemplo, políticas de medicamentos</w:t>
      </w:r>
      <w:r w:rsidR="0034595F">
        <w:t>, desenvolvimento de soros e outras tecnologias.</w:t>
      </w:r>
    </w:p>
    <w:p w14:paraId="25715206" w14:textId="77777777" w:rsidR="00B70C89" w:rsidRDefault="00B70C89" w:rsidP="00D43FF9">
      <w:pPr>
        <w:ind w:left="-11"/>
        <w:jc w:val="both"/>
      </w:pPr>
    </w:p>
    <w:p w14:paraId="7A157C4B" w14:textId="32899A33" w:rsidR="0034595F" w:rsidRDefault="003C1B2E" w:rsidP="00D43FF9">
      <w:pPr>
        <w:ind w:left="-11"/>
        <w:jc w:val="both"/>
      </w:pPr>
      <w:r>
        <w:t>Em complemento, participantes brasileiros convidados da reunião da comissão</w:t>
      </w:r>
      <w:r w:rsidR="006B677D">
        <w:t xml:space="preserve">, como </w:t>
      </w:r>
      <w:r w:rsidR="000D1B95">
        <w:t xml:space="preserve">o </w:t>
      </w:r>
      <w:r w:rsidR="006B677D">
        <w:t xml:space="preserve">Instituto Butantan e </w:t>
      </w:r>
      <w:r w:rsidR="000D1B95">
        <w:t>a Fioc</w:t>
      </w:r>
      <w:r w:rsidR="006B677D">
        <w:t>ruz,</w:t>
      </w:r>
      <w:r>
        <w:t xml:space="preserve"> adicionaram que </w:t>
      </w:r>
      <w:r w:rsidR="006B677D">
        <w:t xml:space="preserve">há plataformas </w:t>
      </w:r>
      <w:r w:rsidR="00C9235B">
        <w:t xml:space="preserve">com cursos à distância </w:t>
      </w:r>
      <w:r w:rsidR="005C7F16">
        <w:t>que podem ser</w:t>
      </w:r>
      <w:r w:rsidR="000D1B95">
        <w:t xml:space="preserve"> </w:t>
      </w:r>
      <w:r w:rsidR="000B44AD">
        <w:t>realizado</w:t>
      </w:r>
      <w:r w:rsidR="000D1B95">
        <w:t>s</w:t>
      </w:r>
      <w:r w:rsidR="005C7F16">
        <w:t xml:space="preserve"> para a formação </w:t>
      </w:r>
      <w:r w:rsidR="00C974F8">
        <w:t xml:space="preserve">complementar </w:t>
      </w:r>
      <w:r w:rsidR="005C7F16">
        <w:t xml:space="preserve">de </w:t>
      </w:r>
      <w:r w:rsidR="00C974F8">
        <w:t xml:space="preserve">profissionais </w:t>
      </w:r>
      <w:r w:rsidR="005C7F16">
        <w:t xml:space="preserve">dos países membros, </w:t>
      </w:r>
      <w:r w:rsidR="00C9235B">
        <w:t>e que a próxima edição do curso, prevista para o ano de 202</w:t>
      </w:r>
      <w:r w:rsidR="00AC36F1">
        <w:t>7</w:t>
      </w:r>
      <w:r w:rsidR="00C9235B">
        <w:t xml:space="preserve">, </w:t>
      </w:r>
      <w:r w:rsidR="005C7F16">
        <w:t>pode ser</w:t>
      </w:r>
      <w:r w:rsidR="00D665E0">
        <w:t xml:space="preserve"> desenvolvida de forma híbrida </w:t>
      </w:r>
      <w:r w:rsidR="009366E6">
        <w:t>com gravações d</w:t>
      </w:r>
      <w:r w:rsidR="00D665E0">
        <w:t>e</w:t>
      </w:r>
      <w:r w:rsidR="009366E6">
        <w:t xml:space="preserve"> aulas, aulas síncronas e visitas técnicas.</w:t>
      </w:r>
      <w:r w:rsidR="007C0874">
        <w:t xml:space="preserve"> A representante suplente da delegação brasileira</w:t>
      </w:r>
      <w:r w:rsidR="00FE02FC">
        <w:t xml:space="preserve">, informou que está </w:t>
      </w:r>
      <w:r w:rsidR="00D665E0">
        <w:t xml:space="preserve">em </w:t>
      </w:r>
      <w:r w:rsidR="00FE02FC">
        <w:t>desenvolvimento um curso sobre kit diagnóstico que poderá ser viabilizado para o público dos ministérios dos países membros</w:t>
      </w:r>
      <w:r w:rsidR="001136FA">
        <w:t xml:space="preserve"> e adicionou quanto a importância da </w:t>
      </w:r>
      <w:r w:rsidR="008C2BA7">
        <w:t xml:space="preserve">criação de </w:t>
      </w:r>
      <w:r w:rsidR="00C409B6">
        <w:t xml:space="preserve">canal </w:t>
      </w:r>
      <w:r w:rsidR="008C2BA7">
        <w:t xml:space="preserve">de comunicação permanente </w:t>
      </w:r>
      <w:r w:rsidR="00C409B6">
        <w:t xml:space="preserve">para compartilhar </w:t>
      </w:r>
      <w:r w:rsidR="00AC36F1">
        <w:t>o conhecimento n</w:t>
      </w:r>
      <w:r w:rsidR="008C2BA7">
        <w:t>a comunidade que foi criada com a aplicação das duas edições do curso.</w:t>
      </w:r>
    </w:p>
    <w:p w14:paraId="1882F625" w14:textId="77777777" w:rsidR="00D768A7" w:rsidRDefault="00D768A7" w:rsidP="00D43FF9">
      <w:pPr>
        <w:ind w:left="-11"/>
        <w:jc w:val="both"/>
      </w:pPr>
    </w:p>
    <w:p w14:paraId="1FAC2714" w14:textId="6A9921EA" w:rsidR="00D768A7" w:rsidRDefault="00D768A7" w:rsidP="00D43FF9">
      <w:pPr>
        <w:ind w:left="-11"/>
        <w:jc w:val="both"/>
      </w:pPr>
      <w:r>
        <w:t xml:space="preserve">Em adição, </w:t>
      </w:r>
      <w:r w:rsidR="00383C7F">
        <w:t xml:space="preserve">as delegações pontuaram que os participantes da 1ª edição do curso realizaram visitas técnicas às instituições brasileiras, ao passo que, </w:t>
      </w:r>
      <w:r w:rsidR="00170C09">
        <w:t xml:space="preserve">por oportunidade da 2ª edição, por limitações orçamentárias, as visitas foram restritas </w:t>
      </w:r>
      <w:r w:rsidR="00CA173E">
        <w:t>a um grupo</w:t>
      </w:r>
      <w:r w:rsidR="00BF7970">
        <w:t xml:space="preserve"> pequeno</w:t>
      </w:r>
      <w:r w:rsidR="00CA173E">
        <w:t xml:space="preserve"> de participantes, não englobando todos os inscritos.</w:t>
      </w:r>
      <w:r w:rsidR="00204D6A">
        <w:t xml:space="preserve"> Esta CIECPR sugeriu, portanto, que em futuras edições sejam enveredados esforços por todos os partícipes para a </w:t>
      </w:r>
      <w:r w:rsidR="009B080F">
        <w:t xml:space="preserve">realização de missão com visitas técnicas para todos os participantes do </w:t>
      </w:r>
      <w:r w:rsidR="00F20B26">
        <w:t>MERCOSUL</w:t>
      </w:r>
      <w:r w:rsidR="009B080F">
        <w:t>.</w:t>
      </w:r>
      <w:r w:rsidR="00F66D04">
        <w:t xml:space="preserve"> Oportunamente, esta CIECPR se compromete a comunicar aos coordenadores nacionais </w:t>
      </w:r>
      <w:r w:rsidR="00237792">
        <w:t>a necessidade de mobilização de recursos para viabilizar as missões.</w:t>
      </w:r>
    </w:p>
    <w:p w14:paraId="15C00910" w14:textId="77777777" w:rsidR="00FC20C6" w:rsidRDefault="00FC20C6" w:rsidP="00D43FF9">
      <w:pPr>
        <w:ind w:left="-11"/>
        <w:jc w:val="both"/>
      </w:pPr>
    </w:p>
    <w:p w14:paraId="625FFFDD" w14:textId="5E152A59" w:rsidR="007F6709" w:rsidRDefault="00FD08AB" w:rsidP="00D91ED8">
      <w:pPr>
        <w:ind w:left="-11"/>
        <w:jc w:val="both"/>
      </w:pPr>
      <w:r>
        <w:t>Para encaminhamento deste tópico, acordou-se</w:t>
      </w:r>
      <w:r w:rsidR="0045151B">
        <w:t xml:space="preserve"> a</w:t>
      </w:r>
      <w:r>
        <w:t xml:space="preserve"> dar continuidade às tratativas </w:t>
      </w:r>
      <w:r w:rsidR="0045151B">
        <w:t>de formação de recursos humanos, como a criação de um grupo de trabalho</w:t>
      </w:r>
      <w:r w:rsidR="00573FE7">
        <w:t xml:space="preserve"> educativo</w:t>
      </w:r>
      <w:r w:rsidR="0045151B">
        <w:t xml:space="preserve">, no âmbito da CIECPR, </w:t>
      </w:r>
      <w:r w:rsidR="00573FE7">
        <w:t>para a criação de um plano pedagógico para o aprimoramento do curso a ser realizado por módulos com diversos</w:t>
      </w:r>
      <w:r w:rsidR="00D91ED8">
        <w:t xml:space="preserve"> tópicos</w:t>
      </w:r>
      <w:r w:rsidR="00B55384">
        <w:t xml:space="preserve"> (vacinas, soros, pesquisa clínica, políticas públicas voltadas</w:t>
      </w:r>
      <w:r w:rsidR="00997C11">
        <w:t xml:space="preserve"> para a saúde dentre outros)</w:t>
      </w:r>
      <w:r w:rsidR="00D91ED8">
        <w:t>.</w:t>
      </w:r>
      <w:r w:rsidR="0059159B">
        <w:t xml:space="preserve"> </w:t>
      </w:r>
      <w:r w:rsidR="00FC20C6">
        <w:t>As delegações parte desta CIECPR apresent</w:t>
      </w:r>
      <w:r w:rsidR="00694724">
        <w:t>aram</w:t>
      </w:r>
      <w:r w:rsidR="00FC20C6">
        <w:t xml:space="preserve"> ainda o pleito ao Ministério da Saúde </w:t>
      </w:r>
      <w:r w:rsidR="0081694B">
        <w:t xml:space="preserve">brasileiro </w:t>
      </w:r>
      <w:r w:rsidR="00FC20C6">
        <w:t xml:space="preserve">em colaborar com </w:t>
      </w:r>
      <w:r w:rsidR="0081694B">
        <w:t xml:space="preserve">a </w:t>
      </w:r>
      <w:r w:rsidR="00FC20C6">
        <w:t xml:space="preserve">priorização de representantes </w:t>
      </w:r>
      <w:r w:rsidR="0081694B">
        <w:t xml:space="preserve">do </w:t>
      </w:r>
      <w:r w:rsidR="00F20B26">
        <w:t xml:space="preserve">MERCOSUL </w:t>
      </w:r>
      <w:r w:rsidR="0081694B">
        <w:t>para o financiamento de visitas técnicas.</w:t>
      </w:r>
      <w:r w:rsidR="00086219">
        <w:t xml:space="preserve"> </w:t>
      </w:r>
      <w:r w:rsidR="0059159B">
        <w:t>Acerca d</w:t>
      </w:r>
      <w:r w:rsidR="00FC20C6">
        <w:t>a conclusão deste</w:t>
      </w:r>
      <w:r w:rsidR="0059159B">
        <w:t xml:space="preserve"> tópico, a Comissão concluiu que </w:t>
      </w:r>
      <w:r w:rsidR="00B55384">
        <w:t xml:space="preserve">este curso </w:t>
      </w:r>
      <w:r w:rsidR="00435029">
        <w:t>atinge</w:t>
      </w:r>
      <w:r w:rsidR="00997C11">
        <w:t xml:space="preserve"> </w:t>
      </w:r>
      <w:r w:rsidR="005B2EA0">
        <w:t>o objetivo de formação de pessoal</w:t>
      </w:r>
      <w:r w:rsidR="00E24226">
        <w:t xml:space="preserve"> e </w:t>
      </w:r>
      <w:r w:rsidR="005B2EA0">
        <w:t xml:space="preserve">aprofunda </w:t>
      </w:r>
      <w:r w:rsidR="008F50E3">
        <w:t>as relações intra-</w:t>
      </w:r>
      <w:r w:rsidR="00F20B26" w:rsidRPr="00F20B26">
        <w:t xml:space="preserve"> </w:t>
      </w:r>
      <w:r w:rsidR="00F20B26">
        <w:t>MERCOSUL</w:t>
      </w:r>
      <w:r w:rsidR="008F50E3">
        <w:t xml:space="preserve">, </w:t>
      </w:r>
      <w:r w:rsidR="00435029">
        <w:t xml:space="preserve">aprimorando </w:t>
      </w:r>
      <w:r w:rsidR="005B2EA0">
        <w:t xml:space="preserve">a comunidade que trabalha para o desenvolvimento do complexo econômico-industrial da saúde em </w:t>
      </w:r>
      <w:r w:rsidR="00EF424C">
        <w:t>comum.</w:t>
      </w:r>
      <w:r w:rsidR="00FC20C6">
        <w:t xml:space="preserve"> </w:t>
      </w:r>
    </w:p>
    <w:p w14:paraId="5E77C1D6" w14:textId="77777777" w:rsidR="00A7727D" w:rsidRDefault="00A7727D" w:rsidP="003F21FC">
      <w:pPr>
        <w:ind w:left="-11"/>
        <w:jc w:val="both"/>
      </w:pPr>
    </w:p>
    <w:p w14:paraId="70C77864" w14:textId="03D53335" w:rsidR="0012006B" w:rsidRDefault="00D91ED8" w:rsidP="000B4A65">
      <w:pPr>
        <w:ind w:left="-11"/>
        <w:jc w:val="both"/>
      </w:pPr>
      <w:r>
        <w:t>Em seguimento aos tópicos da agenda, foram apresentados os avanços sobre</w:t>
      </w:r>
      <w:r w:rsidR="000B4A65">
        <w:t xml:space="preserve"> </w:t>
      </w:r>
      <w:r w:rsidR="0012006B">
        <w:t xml:space="preserve">de políticas públicas brasileiras para </w:t>
      </w:r>
      <w:r w:rsidR="00337D3B">
        <w:t xml:space="preserve">o </w:t>
      </w:r>
      <w:r w:rsidR="0012006B">
        <w:t>fortalecimento da produção local e regional</w:t>
      </w:r>
      <w:r w:rsidR="000B4A65">
        <w:t xml:space="preserve"> e</w:t>
      </w:r>
      <w:r w:rsidR="0012006B">
        <w:t xml:space="preserve"> </w:t>
      </w:r>
      <w:r w:rsidR="000B4A65">
        <w:t>de</w:t>
      </w:r>
      <w:r w:rsidR="0012006B">
        <w:t xml:space="preserve"> investimentos públicos</w:t>
      </w:r>
      <w:r w:rsidR="000B4A65">
        <w:t xml:space="preserve"> realizados, como </w:t>
      </w:r>
      <w:r w:rsidR="0012006B">
        <w:t>o Programa de Parcerias para o Desenvolvimento Produtivo (PDP)</w:t>
      </w:r>
      <w:r w:rsidR="00FA528D">
        <w:t xml:space="preserve"> </w:t>
      </w:r>
      <w:r w:rsidR="00FA528D" w:rsidRPr="00FA4CE0">
        <w:rPr>
          <w:b/>
          <w:bCs/>
        </w:rPr>
        <w:t>(Anexo V)</w:t>
      </w:r>
      <w:r w:rsidR="000B4A65">
        <w:t xml:space="preserve">, o </w:t>
      </w:r>
      <w:r w:rsidR="0012006B">
        <w:t xml:space="preserve">Programa de </w:t>
      </w:r>
      <w:r w:rsidR="0012006B">
        <w:lastRenderedPageBreak/>
        <w:t>Desenvolvimento e Inovação Local (PDIL)</w:t>
      </w:r>
      <w:r w:rsidR="00FA528D">
        <w:t xml:space="preserve"> </w:t>
      </w:r>
      <w:r w:rsidR="00FA528D" w:rsidRPr="00FA4CE0">
        <w:rPr>
          <w:b/>
          <w:bCs/>
        </w:rPr>
        <w:t>(Anexo VI)</w:t>
      </w:r>
      <w:r w:rsidR="000B4A65" w:rsidRPr="00FA4CE0">
        <w:t xml:space="preserve"> </w:t>
      </w:r>
      <w:r w:rsidR="000B4A65">
        <w:t xml:space="preserve">e a </w:t>
      </w:r>
      <w:r w:rsidR="001543FE">
        <w:t xml:space="preserve">divulgação da </w:t>
      </w:r>
      <w:r w:rsidR="0012006B">
        <w:t xml:space="preserve">Coalização Global para a Produção Regional e Local, Inovação e Acesso </w:t>
      </w:r>
      <w:r w:rsidR="00FA528D" w:rsidRPr="00FA4CE0">
        <w:rPr>
          <w:b/>
          <w:bCs/>
        </w:rPr>
        <w:t>(Anexo VII)</w:t>
      </w:r>
      <w:r w:rsidR="00FA528D">
        <w:t xml:space="preserve"> </w:t>
      </w:r>
      <w:r w:rsidR="001543FE">
        <w:t xml:space="preserve">criada no âmbito do G-20 que pode ser aberta para adesão dos países membros do </w:t>
      </w:r>
      <w:r w:rsidR="00F20B26">
        <w:t>MERCOSUL</w:t>
      </w:r>
      <w:r w:rsidR="001543FE">
        <w:t xml:space="preserve">. </w:t>
      </w:r>
    </w:p>
    <w:p w14:paraId="2AC9B19D" w14:textId="20E3F964" w:rsidR="001543FE" w:rsidRDefault="001543FE" w:rsidP="000B4A65">
      <w:pPr>
        <w:ind w:left="-11"/>
        <w:jc w:val="both"/>
      </w:pPr>
    </w:p>
    <w:p w14:paraId="7B076D7C" w14:textId="65D84DA6" w:rsidR="001543FE" w:rsidRDefault="001543FE" w:rsidP="000B4A65">
      <w:pPr>
        <w:ind w:left="-11"/>
        <w:jc w:val="both"/>
      </w:pPr>
      <w:r>
        <w:t>Posteriormente,</w:t>
      </w:r>
      <w:r w:rsidR="007174FE">
        <w:t xml:space="preserve"> realizou-se</w:t>
      </w:r>
      <w:r w:rsidR="00AF6F40">
        <w:t xml:space="preserve"> rodada de perguntas e respostas sobre os desafios e as entregas realizadas </w:t>
      </w:r>
      <w:r w:rsidR="00597ED1">
        <w:t>no escopo dos programas apresentados.</w:t>
      </w:r>
      <w:r w:rsidR="007174FE">
        <w:t xml:space="preserve"> Nesta oportunidade,</w:t>
      </w:r>
      <w:r w:rsidR="000D5B61">
        <w:t xml:space="preserve"> </w:t>
      </w:r>
      <w:r w:rsidR="00146A6D">
        <w:t xml:space="preserve">a delegação brasileira esclareceu que os arranjos </w:t>
      </w:r>
      <w:r w:rsidR="00147577">
        <w:t xml:space="preserve">apresentados </w:t>
      </w:r>
      <w:r w:rsidR="00146A6D">
        <w:t xml:space="preserve">podem </w:t>
      </w:r>
      <w:r w:rsidR="00147577">
        <w:t>contar</w:t>
      </w:r>
      <w:r w:rsidR="00764158">
        <w:t xml:space="preserve"> com</w:t>
      </w:r>
      <w:r w:rsidR="00147577">
        <w:t xml:space="preserve"> a participação de laboratórios dos países parceiros</w:t>
      </w:r>
      <w:r w:rsidR="000C1156">
        <w:t>, sejam públicos ou privados.</w:t>
      </w:r>
    </w:p>
    <w:p w14:paraId="624E9CAF" w14:textId="77777777" w:rsidR="00572074" w:rsidRDefault="00572074" w:rsidP="000B4A65">
      <w:pPr>
        <w:ind w:left="-11"/>
        <w:jc w:val="both"/>
      </w:pPr>
    </w:p>
    <w:p w14:paraId="300232B6" w14:textId="6AD73072" w:rsidR="008C7730" w:rsidRDefault="00921CD8" w:rsidP="008C7730">
      <w:pPr>
        <w:ind w:left="-11"/>
        <w:jc w:val="both"/>
      </w:pPr>
      <w:r>
        <w:t>Em seguida, foram apresentados c</w:t>
      </w:r>
      <w:r w:rsidR="0012006B" w:rsidRPr="0012006B">
        <w:t xml:space="preserve">asos de sucesso de transferência de tecnologia </w:t>
      </w:r>
      <w:r>
        <w:t>promovid</w:t>
      </w:r>
      <w:r w:rsidR="007007EC">
        <w:t>as por instituições públicas brasileira</w:t>
      </w:r>
      <w:r w:rsidR="001E7A04">
        <w:t>s</w:t>
      </w:r>
      <w:r w:rsidR="007007EC">
        <w:t xml:space="preserve"> </w:t>
      </w:r>
      <w:r w:rsidR="0012006B" w:rsidRPr="0012006B">
        <w:t>para o aumento da capacidade produtiva</w:t>
      </w:r>
      <w:r w:rsidR="007007EC">
        <w:t xml:space="preserve">. O Instituto </w:t>
      </w:r>
      <w:r w:rsidR="0012006B" w:rsidRPr="0012006B">
        <w:t>Butantan</w:t>
      </w:r>
      <w:r w:rsidR="00FA528D">
        <w:t xml:space="preserve"> </w:t>
      </w:r>
      <w:r w:rsidR="00FA528D" w:rsidRPr="00FA4CE0">
        <w:rPr>
          <w:b/>
          <w:bCs/>
        </w:rPr>
        <w:t>(Anexo VIII)</w:t>
      </w:r>
      <w:r w:rsidR="007007EC">
        <w:rPr>
          <w:spacing w:val="-2"/>
        </w:rPr>
        <w:t xml:space="preserve"> apresentou sua capacidade institucional e</w:t>
      </w:r>
      <w:r w:rsidR="003C27FB">
        <w:rPr>
          <w:spacing w:val="-2"/>
        </w:rPr>
        <w:t xml:space="preserve"> o</w:t>
      </w:r>
      <w:r w:rsidR="007007EC">
        <w:rPr>
          <w:spacing w:val="-2"/>
        </w:rPr>
        <w:t xml:space="preserve"> processo de transferência de tecnologia da vacina de influenza. Em seguida, foram realizadas as apresentações do </w:t>
      </w:r>
      <w:r w:rsidR="0012006B" w:rsidRPr="0012006B">
        <w:rPr>
          <w:spacing w:val="-2"/>
        </w:rPr>
        <w:t>Instituto</w:t>
      </w:r>
      <w:r w:rsidR="0012006B">
        <w:tab/>
      </w:r>
      <w:r w:rsidR="0012006B" w:rsidRPr="0012006B">
        <w:rPr>
          <w:spacing w:val="-6"/>
        </w:rPr>
        <w:t>de</w:t>
      </w:r>
      <w:r w:rsidR="0012006B">
        <w:tab/>
      </w:r>
      <w:r w:rsidR="0012006B" w:rsidRPr="0012006B">
        <w:rPr>
          <w:spacing w:val="-2"/>
        </w:rPr>
        <w:t>Tecnologia</w:t>
      </w:r>
      <w:r w:rsidR="0012006B">
        <w:tab/>
      </w:r>
      <w:r w:rsidR="00384991">
        <w:rPr>
          <w:spacing w:val="-6"/>
        </w:rPr>
        <w:t>em</w:t>
      </w:r>
      <w:r w:rsidR="0012006B">
        <w:tab/>
      </w:r>
      <w:r w:rsidR="0012006B" w:rsidRPr="0012006B">
        <w:rPr>
          <w:spacing w:val="-2"/>
        </w:rPr>
        <w:t>Fármacos</w:t>
      </w:r>
      <w:r w:rsidR="0012006B">
        <w:rPr>
          <w:spacing w:val="-2"/>
        </w:rPr>
        <w:t xml:space="preserve"> </w:t>
      </w:r>
      <w:r w:rsidR="0012006B">
        <w:t>(Farmanguinhos)</w:t>
      </w:r>
      <w:r w:rsidR="00FA528D">
        <w:t xml:space="preserve"> </w:t>
      </w:r>
      <w:r w:rsidR="00FA528D" w:rsidRPr="00FA4CE0">
        <w:rPr>
          <w:b/>
          <w:bCs/>
        </w:rPr>
        <w:t>(Anexo IX)</w:t>
      </w:r>
      <w:r w:rsidR="007007EC">
        <w:t xml:space="preserve">, do </w:t>
      </w:r>
      <w:r w:rsidR="0012006B">
        <w:t>Instituto</w:t>
      </w:r>
      <w:r w:rsidR="0012006B">
        <w:rPr>
          <w:spacing w:val="-17"/>
        </w:rPr>
        <w:t xml:space="preserve"> </w:t>
      </w:r>
      <w:r w:rsidR="0012006B">
        <w:t>de</w:t>
      </w:r>
      <w:r w:rsidR="0012006B">
        <w:rPr>
          <w:spacing w:val="-17"/>
        </w:rPr>
        <w:t xml:space="preserve"> </w:t>
      </w:r>
      <w:r w:rsidR="0012006B">
        <w:t>Tecnologia</w:t>
      </w:r>
      <w:r w:rsidR="0012006B">
        <w:rPr>
          <w:spacing w:val="-16"/>
        </w:rPr>
        <w:t xml:space="preserve"> </w:t>
      </w:r>
      <w:r w:rsidR="0012006B">
        <w:t>em</w:t>
      </w:r>
      <w:r w:rsidR="0012006B">
        <w:rPr>
          <w:spacing w:val="-17"/>
        </w:rPr>
        <w:t xml:space="preserve"> </w:t>
      </w:r>
      <w:r w:rsidR="0012006B">
        <w:t>Imunobiológicos</w:t>
      </w:r>
      <w:r w:rsidR="0012006B">
        <w:rPr>
          <w:spacing w:val="-17"/>
        </w:rPr>
        <w:t xml:space="preserve"> </w:t>
      </w:r>
      <w:r w:rsidR="0012006B">
        <w:t>(Bio</w:t>
      </w:r>
      <w:r w:rsidR="00384991">
        <w:t>-M</w:t>
      </w:r>
      <w:r w:rsidR="0012006B">
        <w:t>anguinhos)</w:t>
      </w:r>
      <w:r w:rsidR="00196DBF">
        <w:t xml:space="preserve"> </w:t>
      </w:r>
      <w:r w:rsidR="00FA528D" w:rsidRPr="00FA4CE0">
        <w:rPr>
          <w:b/>
          <w:bCs/>
        </w:rPr>
        <w:t>(Anexo X)</w:t>
      </w:r>
      <w:r w:rsidR="00FA528D">
        <w:t xml:space="preserve"> </w:t>
      </w:r>
      <w:r w:rsidR="00196DBF">
        <w:t xml:space="preserve">e da capacidade do </w:t>
      </w:r>
      <w:r w:rsidR="0000314F">
        <w:t xml:space="preserve">Instituto Nacional </w:t>
      </w:r>
      <w:r w:rsidR="0012006B">
        <w:t xml:space="preserve">de Controle de Qualidade </w:t>
      </w:r>
      <w:r w:rsidR="0000314F">
        <w:t xml:space="preserve">em Saúde </w:t>
      </w:r>
      <w:r w:rsidR="0012006B">
        <w:t>(INCQS) como</w:t>
      </w:r>
      <w:r w:rsidR="0012006B">
        <w:rPr>
          <w:spacing w:val="-17"/>
        </w:rPr>
        <w:t xml:space="preserve"> </w:t>
      </w:r>
      <w:r w:rsidR="0012006B">
        <w:t>ativo</w:t>
      </w:r>
      <w:r w:rsidR="0012006B">
        <w:rPr>
          <w:spacing w:val="-17"/>
        </w:rPr>
        <w:t xml:space="preserve"> </w:t>
      </w:r>
      <w:r w:rsidR="0012006B">
        <w:t>estratégico</w:t>
      </w:r>
      <w:r w:rsidR="0012006B">
        <w:rPr>
          <w:spacing w:val="-16"/>
        </w:rPr>
        <w:t xml:space="preserve"> </w:t>
      </w:r>
      <w:r w:rsidR="0012006B">
        <w:t>do</w:t>
      </w:r>
      <w:r w:rsidR="0012006B">
        <w:rPr>
          <w:spacing w:val="-17"/>
        </w:rPr>
        <w:t xml:space="preserve"> </w:t>
      </w:r>
      <w:r w:rsidR="0012006B">
        <w:t>Complexo</w:t>
      </w:r>
      <w:r w:rsidR="0012006B">
        <w:rPr>
          <w:spacing w:val="-17"/>
        </w:rPr>
        <w:t xml:space="preserve"> </w:t>
      </w:r>
      <w:r w:rsidR="0012006B">
        <w:t>Econômico-Industrial</w:t>
      </w:r>
      <w:r w:rsidR="0012006B">
        <w:rPr>
          <w:spacing w:val="-17"/>
        </w:rPr>
        <w:t xml:space="preserve"> </w:t>
      </w:r>
      <w:r w:rsidR="0012006B">
        <w:t>da Saúde (CEIS)</w:t>
      </w:r>
      <w:r w:rsidR="00FA528D">
        <w:t xml:space="preserve"> </w:t>
      </w:r>
      <w:r w:rsidR="00FA528D" w:rsidRPr="00FA4CE0">
        <w:rPr>
          <w:b/>
          <w:bCs/>
        </w:rPr>
        <w:t>(Anexo XI)</w:t>
      </w:r>
      <w:r w:rsidR="0000314F">
        <w:t>.</w:t>
      </w:r>
    </w:p>
    <w:p w14:paraId="77E86035" w14:textId="77777777" w:rsidR="008C7730" w:rsidRDefault="008C7730" w:rsidP="008C7730">
      <w:pPr>
        <w:ind w:left="-11"/>
        <w:jc w:val="both"/>
      </w:pPr>
    </w:p>
    <w:p w14:paraId="05582F43" w14:textId="44E487FE" w:rsidR="005D05BA" w:rsidRDefault="008C7730" w:rsidP="001D4A58">
      <w:pPr>
        <w:ind w:left="-11"/>
        <w:jc w:val="both"/>
      </w:pPr>
      <w:r>
        <w:t xml:space="preserve">No momento posterior, em avanço aos tópicos </w:t>
      </w:r>
      <w:r w:rsidR="00F011F9">
        <w:t>da agenda, a del</w:t>
      </w:r>
      <w:r w:rsidR="007E483C">
        <w:t>eg</w:t>
      </w:r>
      <w:r w:rsidR="00F011F9">
        <w:t xml:space="preserve">ação brasileira, representada </w:t>
      </w:r>
      <w:r w:rsidR="001D4A58">
        <w:t>nesta iniciativa por Bio</w:t>
      </w:r>
      <w:r w:rsidR="007E483C">
        <w:t>-M</w:t>
      </w:r>
      <w:r w:rsidR="001D4A58">
        <w:t xml:space="preserve">anguinhos, apresentou os avanços do projeto </w:t>
      </w:r>
      <w:r w:rsidR="0012006B">
        <w:t>para o</w:t>
      </w:r>
      <w:r w:rsidR="0012006B">
        <w:rPr>
          <w:spacing w:val="30"/>
        </w:rPr>
        <w:t xml:space="preserve"> </w:t>
      </w:r>
      <w:r w:rsidR="0012006B">
        <w:t>desenvolvimento</w:t>
      </w:r>
      <w:r w:rsidR="0012006B">
        <w:rPr>
          <w:spacing w:val="35"/>
        </w:rPr>
        <w:t xml:space="preserve"> </w:t>
      </w:r>
      <w:r w:rsidR="0012006B">
        <w:t>de</w:t>
      </w:r>
      <w:r w:rsidR="0012006B">
        <w:rPr>
          <w:spacing w:val="32"/>
        </w:rPr>
        <w:t xml:space="preserve"> </w:t>
      </w:r>
      <w:r w:rsidR="0012006B">
        <w:t>imunobiológicos</w:t>
      </w:r>
      <w:r w:rsidR="005D05BA">
        <w:t xml:space="preserve"> e as </w:t>
      </w:r>
      <w:r w:rsidR="0012006B">
        <w:t>ações de desenvolvimento d</w:t>
      </w:r>
      <w:r w:rsidR="007E483C">
        <w:t xml:space="preserve">a </w:t>
      </w:r>
      <w:r w:rsidR="0012006B">
        <w:t>plataforma de RNA mensageiro</w:t>
      </w:r>
      <w:r w:rsidR="00FA528D">
        <w:t xml:space="preserve"> </w:t>
      </w:r>
      <w:r w:rsidR="00FA528D" w:rsidRPr="00FA4CE0">
        <w:rPr>
          <w:b/>
          <w:bCs/>
        </w:rPr>
        <w:t>(Anexo XII)</w:t>
      </w:r>
      <w:r w:rsidR="005D05BA">
        <w:t xml:space="preserve">. </w:t>
      </w:r>
    </w:p>
    <w:p w14:paraId="32B9F916" w14:textId="77777777" w:rsidR="005D05BA" w:rsidRDefault="005D05BA" w:rsidP="001D4A58">
      <w:pPr>
        <w:ind w:left="-11"/>
        <w:jc w:val="both"/>
      </w:pPr>
    </w:p>
    <w:p w14:paraId="68893A38" w14:textId="2C4C900B" w:rsidR="0012006B" w:rsidRDefault="00197DF6" w:rsidP="00197DF6">
      <w:pPr>
        <w:ind w:left="-11"/>
        <w:jc w:val="both"/>
      </w:pPr>
      <w:r>
        <w:t xml:space="preserve">Em ato contínuo, a </w:t>
      </w:r>
      <w:r w:rsidR="00705885">
        <w:t xml:space="preserve">Organização Pan-Americana da Saúde (OPAS/OMS), convidada pela presidência </w:t>
      </w:r>
      <w:r w:rsidR="00705885">
        <w:rPr>
          <w:i/>
          <w:iCs/>
        </w:rPr>
        <w:t xml:space="preserve">pro </w:t>
      </w:r>
      <w:r w:rsidR="00705885" w:rsidRPr="00705885">
        <w:rPr>
          <w:i/>
          <w:iCs/>
        </w:rPr>
        <w:t>tempore</w:t>
      </w:r>
      <w:r w:rsidR="002F079B">
        <w:rPr>
          <w:i/>
          <w:iCs/>
        </w:rPr>
        <w:t>,</w:t>
      </w:r>
      <w:r w:rsidR="00705885">
        <w:t xml:space="preserve"> apresentou o </w:t>
      </w:r>
      <w:r w:rsidR="0012006B" w:rsidRPr="00705885">
        <w:t>Programa</w:t>
      </w:r>
      <w:r w:rsidR="0012006B">
        <w:rPr>
          <w:spacing w:val="32"/>
        </w:rPr>
        <w:t xml:space="preserve"> </w:t>
      </w:r>
      <w:r w:rsidR="0012006B">
        <w:t>Especial da Plataforma</w:t>
      </w:r>
      <w:r w:rsidR="0012006B">
        <w:rPr>
          <w:spacing w:val="32"/>
        </w:rPr>
        <w:t xml:space="preserve"> </w:t>
      </w:r>
      <w:r w:rsidR="0012006B">
        <w:t>Regional de</w:t>
      </w:r>
      <w:r w:rsidR="0012006B">
        <w:rPr>
          <w:spacing w:val="32"/>
        </w:rPr>
        <w:t xml:space="preserve"> </w:t>
      </w:r>
      <w:r w:rsidR="0012006B">
        <w:t>Inovação e Produção na América Latina</w:t>
      </w:r>
      <w:r w:rsidR="00705885">
        <w:t xml:space="preserve"> </w:t>
      </w:r>
      <w:r w:rsidR="00FA528D" w:rsidRPr="00FA4CE0">
        <w:rPr>
          <w:b/>
          <w:bCs/>
        </w:rPr>
        <w:t>(Anexo XIII)</w:t>
      </w:r>
      <w:r w:rsidR="00FA528D">
        <w:t xml:space="preserve"> </w:t>
      </w:r>
      <w:r w:rsidR="00705885">
        <w:t xml:space="preserve">voltado para </w:t>
      </w:r>
      <w:r w:rsidR="00134907">
        <w:t>a seleção de laboratórios regionais, no Brasil, Bio</w:t>
      </w:r>
      <w:r w:rsidR="00513B6C">
        <w:t>-M</w:t>
      </w:r>
      <w:r w:rsidR="00134907">
        <w:t xml:space="preserve">anguinhos, e na Argentina, Sinergium, </w:t>
      </w:r>
      <w:r w:rsidR="00DA14B0">
        <w:t>com foco no desenvolvimento de vacinas baseadas em RNAm.</w:t>
      </w:r>
    </w:p>
    <w:p w14:paraId="7AF4C603" w14:textId="77777777" w:rsidR="00376E8C" w:rsidRDefault="00376E8C" w:rsidP="00197DF6">
      <w:pPr>
        <w:ind w:left="-11"/>
        <w:jc w:val="both"/>
      </w:pPr>
    </w:p>
    <w:p w14:paraId="01D91DCC" w14:textId="14BBF0AC" w:rsidR="004F12D0" w:rsidRDefault="00797BF1" w:rsidP="004F12D0">
      <w:pPr>
        <w:ind w:left="-11"/>
        <w:jc w:val="both"/>
      </w:pPr>
      <w:r>
        <w:t xml:space="preserve">Seguidamente, a </w:t>
      </w:r>
      <w:r w:rsidR="004C65EA">
        <w:t>delegação brasileira apresentou</w:t>
      </w:r>
      <w:r w:rsidR="00430EC6">
        <w:t xml:space="preserve"> a iniciativa realizada, </w:t>
      </w:r>
      <w:r w:rsidR="0039548B">
        <w:t xml:space="preserve">o </w:t>
      </w:r>
      <w:r w:rsidR="00430EC6">
        <w:t>w</w:t>
      </w:r>
      <w:r w:rsidR="0039548B">
        <w:t xml:space="preserve">orkshop para qualificação de laboratórios </w:t>
      </w:r>
      <w:r w:rsidR="000343B9">
        <w:t xml:space="preserve">públicos e privados </w:t>
      </w:r>
      <w:r w:rsidR="0039548B">
        <w:t>promovido pelo Ministério da Saúde,</w:t>
      </w:r>
      <w:r w:rsidR="000343B9">
        <w:t xml:space="preserve"> pela</w:t>
      </w:r>
      <w:r w:rsidR="0039548B">
        <w:t xml:space="preserve"> F</w:t>
      </w:r>
      <w:r w:rsidR="000343B9">
        <w:t xml:space="preserve">ederação das </w:t>
      </w:r>
      <w:r w:rsidR="0039548B">
        <w:t>I</w:t>
      </w:r>
      <w:r w:rsidR="000343B9">
        <w:t xml:space="preserve">ndústrias do </w:t>
      </w:r>
      <w:r w:rsidR="0039548B">
        <w:t>E</w:t>
      </w:r>
      <w:r w:rsidR="000343B9">
        <w:t xml:space="preserve">stado de </w:t>
      </w:r>
      <w:r w:rsidR="0039548B">
        <w:t>S</w:t>
      </w:r>
      <w:r w:rsidR="000343B9">
        <w:t xml:space="preserve">ão </w:t>
      </w:r>
      <w:r w:rsidR="0039548B">
        <w:t>P</w:t>
      </w:r>
      <w:r w:rsidR="000343B9">
        <w:t>aulo (FIESP)</w:t>
      </w:r>
      <w:r w:rsidR="0039548B">
        <w:t xml:space="preserve"> e</w:t>
      </w:r>
      <w:r w:rsidR="000343B9">
        <w:t xml:space="preserve"> pela</w:t>
      </w:r>
      <w:r w:rsidR="0039548B">
        <w:t xml:space="preserve"> </w:t>
      </w:r>
      <w:r w:rsidR="000343B9">
        <w:t>O</w:t>
      </w:r>
      <w:r w:rsidR="0039548B">
        <w:t>PAS.</w:t>
      </w:r>
      <w:r w:rsidR="000343B9">
        <w:t xml:space="preserve"> Assim, adicionou que </w:t>
      </w:r>
      <w:r w:rsidR="00B01001">
        <w:t xml:space="preserve">há a perspectiva da realização de 2ª edição do workshop </w:t>
      </w:r>
      <w:r w:rsidR="004F12D0">
        <w:t xml:space="preserve">para empresas públicas e privadas dos países membros do </w:t>
      </w:r>
      <w:r w:rsidR="00F20B26">
        <w:t>MERCOSUL</w:t>
      </w:r>
      <w:r w:rsidR="004F12D0">
        <w:t>.</w:t>
      </w:r>
    </w:p>
    <w:p w14:paraId="465369AB" w14:textId="77777777" w:rsidR="004F12D0" w:rsidRDefault="004F12D0" w:rsidP="004F12D0">
      <w:pPr>
        <w:ind w:left="-11"/>
        <w:jc w:val="both"/>
      </w:pPr>
    </w:p>
    <w:p w14:paraId="62A7381B" w14:textId="5A6237E3" w:rsidR="004A3888" w:rsidRPr="007D1434" w:rsidRDefault="00CF5733" w:rsidP="007D1434">
      <w:pPr>
        <w:ind w:left="-11"/>
        <w:jc w:val="both"/>
        <w:rPr>
          <w:spacing w:val="-2"/>
        </w:rPr>
      </w:pPr>
      <w:r>
        <w:t>Imedia</w:t>
      </w:r>
      <w:r w:rsidR="00FB49FC">
        <w:t>ta</w:t>
      </w:r>
      <w:r>
        <w:t>mente,</w:t>
      </w:r>
      <w:r w:rsidR="00FB49FC">
        <w:t xml:space="preserve"> a representante do Instituto Butantan apresentou a capacidade</w:t>
      </w:r>
      <w:r w:rsidR="00C43CAF">
        <w:t xml:space="preserve"> instalada </w:t>
      </w:r>
      <w:r w:rsidR="00FB49FC">
        <w:t>de produção de soros e</w:t>
      </w:r>
      <w:r w:rsidR="00C43CAF">
        <w:t xml:space="preserve"> antivenenos</w:t>
      </w:r>
      <w:r w:rsidR="008F4A0E">
        <w:t xml:space="preserve"> </w:t>
      </w:r>
      <w:r w:rsidR="008F4A0E" w:rsidRPr="00FA4CE0">
        <w:rPr>
          <w:b/>
          <w:bCs/>
        </w:rPr>
        <w:t>(Anexo XIV)</w:t>
      </w:r>
      <w:r w:rsidR="00C43CAF">
        <w:t xml:space="preserve">, assim como a perspectiva de expansão da produção. </w:t>
      </w:r>
      <w:r w:rsidR="00625FCB">
        <w:t xml:space="preserve">O Instituto Butantan destacou que </w:t>
      </w:r>
      <w:r w:rsidR="00C74D0D">
        <w:t xml:space="preserve">está em desenvolvimento uma Guia de </w:t>
      </w:r>
      <w:r w:rsidR="00EF6C58">
        <w:t xml:space="preserve">reconhecimento dos animais e de manejo </w:t>
      </w:r>
      <w:r w:rsidR="00F7618D">
        <w:t>clínico e terapêutico</w:t>
      </w:r>
      <w:r w:rsidR="00F91B47">
        <w:t xml:space="preserve"> em parceria com o Centro de Panaftosa</w:t>
      </w:r>
      <w:r w:rsidR="00F7618D">
        <w:t>.</w:t>
      </w:r>
      <w:r w:rsidR="004016B0">
        <w:t xml:space="preserve"> </w:t>
      </w:r>
      <w:r w:rsidR="00F7618D">
        <w:t>Após a conclusão,</w:t>
      </w:r>
      <w:r w:rsidR="00CF1F56">
        <w:t xml:space="preserve"> os resultados e publicações serão compartilhados com os países membros.</w:t>
      </w:r>
      <w:r w:rsidR="00B53548">
        <w:t xml:space="preserve"> A delegação</w:t>
      </w:r>
      <w:r w:rsidR="009116FA">
        <w:t xml:space="preserve"> brasileira</w:t>
      </w:r>
      <w:r w:rsidR="00B53548">
        <w:t xml:space="preserve"> adicionou quanto a possibilidade de </w:t>
      </w:r>
      <w:r w:rsidR="00EA140C">
        <w:t>envolver outras instituições públicas nesta temática, como o Instituto Vital Bra</w:t>
      </w:r>
      <w:r w:rsidR="00381AD5">
        <w:t>z</w:t>
      </w:r>
      <w:r w:rsidR="00EA140C">
        <w:t>il</w:t>
      </w:r>
      <w:r w:rsidR="00381AD5">
        <w:t xml:space="preserve"> (IVB)</w:t>
      </w:r>
      <w:r w:rsidR="00EA140C">
        <w:t xml:space="preserve"> e </w:t>
      </w:r>
      <w:r w:rsidR="00E71125">
        <w:t>a Fundação Ezequiel Dias</w:t>
      </w:r>
      <w:r w:rsidR="00381AD5">
        <w:t xml:space="preserve"> (Funed)</w:t>
      </w:r>
      <w:r w:rsidR="00E71125">
        <w:t>.</w:t>
      </w:r>
      <w:r w:rsidR="00F7618D">
        <w:t xml:space="preserve"> </w:t>
      </w:r>
      <w:r w:rsidR="00C43CAF">
        <w:t xml:space="preserve">Como encaminhamento, as delegações se acordaram em avançar um grupo de trabalho interno à comissão, após </w:t>
      </w:r>
      <w:r w:rsidR="00C43CAF">
        <w:lastRenderedPageBreak/>
        <w:t xml:space="preserve">manifestação das partes interessadas, </w:t>
      </w:r>
      <w:r w:rsidR="00197450">
        <w:t xml:space="preserve">para a criação de ações </w:t>
      </w:r>
      <w:r w:rsidR="003E70F1">
        <w:t xml:space="preserve">para promover </w:t>
      </w:r>
      <w:r w:rsidR="0039548B">
        <w:t>o intercâmbio de conhecimento</w:t>
      </w:r>
      <w:r w:rsidR="003E70F1">
        <w:t>, organização de visitas técnicas</w:t>
      </w:r>
      <w:r w:rsidR="00895070">
        <w:t xml:space="preserve"> de biólogos, farmacêuticos e veterinários</w:t>
      </w:r>
      <w:r w:rsidR="0039548B">
        <w:t xml:space="preserve"> e a resposta </w:t>
      </w:r>
      <w:r w:rsidR="00BC567D">
        <w:t xml:space="preserve">às demandas de saúde </w:t>
      </w:r>
      <w:r w:rsidR="0039548B">
        <w:t>nes</w:t>
      </w:r>
      <w:r w:rsidR="003E70F1">
        <w:t>ta temática</w:t>
      </w:r>
      <w:r w:rsidR="0039548B" w:rsidRPr="0039548B">
        <w:rPr>
          <w:spacing w:val="-2"/>
        </w:rPr>
        <w:t>.</w:t>
      </w:r>
      <w:r w:rsidR="002E140F">
        <w:rPr>
          <w:spacing w:val="-2"/>
        </w:rPr>
        <w:t xml:space="preserve"> </w:t>
      </w:r>
    </w:p>
    <w:p w14:paraId="63C50A3B" w14:textId="77777777" w:rsidR="0039548B" w:rsidRPr="0039548B" w:rsidRDefault="0039548B" w:rsidP="0039548B">
      <w:pPr>
        <w:pStyle w:val="Prrafodelista"/>
        <w:ind w:left="1134"/>
      </w:pPr>
    </w:p>
    <w:p w14:paraId="21AB7D64" w14:textId="0876F5DB" w:rsidR="0039548B" w:rsidRDefault="006424D3" w:rsidP="00B77F06">
      <w:pPr>
        <w:jc w:val="both"/>
      </w:pPr>
      <w:r>
        <w:t xml:space="preserve">Em tópico seguinte, a delegação brasileira apresentou de forma </w:t>
      </w:r>
      <w:r w:rsidR="0039548B">
        <w:t xml:space="preserve">conceitual a Matriz de Desafios </w:t>
      </w:r>
      <w:r w:rsidR="00B77F06">
        <w:t>Produtivos e Tecnológico</w:t>
      </w:r>
      <w:r w:rsidR="00B060CF">
        <w:t>s</w:t>
      </w:r>
      <w:r w:rsidR="00B77F06">
        <w:t xml:space="preserve"> em Saúde</w:t>
      </w:r>
      <w:r w:rsidR="008F4A0E">
        <w:t xml:space="preserve"> (Anexo XV)</w:t>
      </w:r>
      <w:r w:rsidR="00B77F06">
        <w:t xml:space="preserve"> </w:t>
      </w:r>
      <w:r>
        <w:t xml:space="preserve">desenvolvida pelo Ministério </w:t>
      </w:r>
      <w:r w:rsidR="00B77F06">
        <w:t xml:space="preserve">da Saúde. Realizou-se igualmente rodadas de discussões com perguntas e respostas sobre o processo de priorização de produtos voltados para os projetos </w:t>
      </w:r>
      <w:r w:rsidR="00A37B4B">
        <w:t>apoiado</w:t>
      </w:r>
      <w:r w:rsidR="00F82B96">
        <w:t xml:space="preserve">s pelo Ministério da Saúde. </w:t>
      </w:r>
    </w:p>
    <w:p w14:paraId="6DC297A0" w14:textId="77777777" w:rsidR="00D03B6C" w:rsidRDefault="00D03B6C" w:rsidP="00B77F06">
      <w:pPr>
        <w:jc w:val="both"/>
      </w:pPr>
    </w:p>
    <w:p w14:paraId="716620D1" w14:textId="1F6295CB" w:rsidR="007705D7" w:rsidRDefault="009C08B6" w:rsidP="00B77F06">
      <w:pPr>
        <w:jc w:val="both"/>
      </w:pPr>
      <w:r>
        <w:t xml:space="preserve">Posteriormente, as delegações </w:t>
      </w:r>
      <w:r w:rsidR="00D02FC7">
        <w:t xml:space="preserve">realizaram discussão sobre a possibilidade de </w:t>
      </w:r>
      <w:r w:rsidR="008C7F67">
        <w:t xml:space="preserve">desenvolver </w:t>
      </w:r>
      <w:r w:rsidR="00D06AAF">
        <w:t xml:space="preserve">ações de priorização de plataformas e </w:t>
      </w:r>
      <w:r w:rsidR="00533ECC">
        <w:t>produtos estratégicos comuns aos países. Como oportunidade de financiamento</w:t>
      </w:r>
      <w:r w:rsidR="00A853A6">
        <w:t xml:space="preserve"> de arranjos </w:t>
      </w:r>
      <w:r w:rsidR="005511C9">
        <w:t xml:space="preserve">envolvendo a participação de países membros do </w:t>
      </w:r>
      <w:r w:rsidR="00F20B26">
        <w:t>MERCOSUL</w:t>
      </w:r>
      <w:r w:rsidR="00533ECC">
        <w:t xml:space="preserve">, </w:t>
      </w:r>
      <w:r w:rsidR="00E1190A">
        <w:t>as delegações citaram organismos e bancos internacionais</w:t>
      </w:r>
      <w:r w:rsidR="00A853A6">
        <w:t>,</w:t>
      </w:r>
      <w:r w:rsidR="00E1190A">
        <w:t xml:space="preserve"> tais como </w:t>
      </w:r>
      <w:r w:rsidR="00A853A6">
        <w:t xml:space="preserve">o </w:t>
      </w:r>
      <w:r w:rsidR="00E1190A">
        <w:t xml:space="preserve">Banco Interamericano de Desenvolvimento, </w:t>
      </w:r>
      <w:r w:rsidR="00321E87">
        <w:t>Banco de Desenvolvimento da América Latina (CAF), além do Banco Nacional de Desenvolvimento (BNDES)</w:t>
      </w:r>
      <w:r w:rsidR="006A29E1">
        <w:t xml:space="preserve"> do Brasil. </w:t>
      </w:r>
      <w:r w:rsidR="005511C9">
        <w:t>Destacou-se ainda, a importância d</w:t>
      </w:r>
      <w:r w:rsidR="008420BE">
        <w:t>o alinhamento das prioridades do</w:t>
      </w:r>
      <w:r w:rsidR="00075CA4">
        <w:t>s</w:t>
      </w:r>
      <w:r w:rsidR="008420BE">
        <w:t xml:space="preserve"> países em torno dos desafios em saúde.</w:t>
      </w:r>
    </w:p>
    <w:p w14:paraId="47E4C5F8" w14:textId="77777777" w:rsidR="00B55F03" w:rsidRDefault="00B55F03" w:rsidP="00B77F06">
      <w:pPr>
        <w:jc w:val="both"/>
      </w:pPr>
    </w:p>
    <w:p w14:paraId="0348DB43" w14:textId="408D52BB" w:rsidR="00D56D2D" w:rsidRDefault="00533ECC" w:rsidP="00B77F06">
      <w:pPr>
        <w:jc w:val="both"/>
      </w:pPr>
      <w:r>
        <w:t xml:space="preserve">A delegação do Uruguai apresentou o pleito </w:t>
      </w:r>
      <w:r w:rsidR="00075CA4">
        <w:t>à</w:t>
      </w:r>
      <w:r w:rsidR="00BC3CDE">
        <w:t xml:space="preserve"> presidência </w:t>
      </w:r>
      <w:r w:rsidR="00BC3CDE">
        <w:rPr>
          <w:i/>
          <w:iCs/>
        </w:rPr>
        <w:t xml:space="preserve">pro tempore </w:t>
      </w:r>
      <w:r>
        <w:t xml:space="preserve">de compartilhar as iniciativas </w:t>
      </w:r>
      <w:r w:rsidR="00312231">
        <w:t xml:space="preserve">de desenvolvimento e incorporação </w:t>
      </w:r>
      <w:r w:rsidR="004136A3">
        <w:t xml:space="preserve">de novas tecnologias </w:t>
      </w:r>
      <w:r>
        <w:t>vol</w:t>
      </w:r>
      <w:r w:rsidR="00356B95">
        <w:t>tadas para a profilaxia de pré-exposição (Prep) ao HIV</w:t>
      </w:r>
      <w:r w:rsidR="0044748F">
        <w:t xml:space="preserve"> e de documento </w:t>
      </w:r>
      <w:r w:rsidR="005B125A">
        <w:t xml:space="preserve">descritivo dos Programas que compõem a Estratégia </w:t>
      </w:r>
      <w:r w:rsidR="0044748F">
        <w:t xml:space="preserve">de Desenvolvimento do CEIS </w:t>
      </w:r>
      <w:r w:rsidR="005C5836">
        <w:t xml:space="preserve">para </w:t>
      </w:r>
      <w:r w:rsidR="00153407">
        <w:t xml:space="preserve">analisar e, oportunamente, </w:t>
      </w:r>
      <w:r w:rsidR="005C5836">
        <w:t xml:space="preserve">compartilhar com </w:t>
      </w:r>
      <w:r w:rsidR="00B55F03">
        <w:t xml:space="preserve">as empresas nacionais </w:t>
      </w:r>
      <w:r w:rsidR="001F0FB4">
        <w:t xml:space="preserve">e instituições científicas e tecnológicas </w:t>
      </w:r>
      <w:r w:rsidR="00B55F03">
        <w:t>de cada país membro.</w:t>
      </w:r>
    </w:p>
    <w:p w14:paraId="1497BF88" w14:textId="77777777" w:rsidR="00103386" w:rsidRDefault="00103386" w:rsidP="00B77F06">
      <w:pPr>
        <w:jc w:val="both"/>
      </w:pPr>
    </w:p>
    <w:p w14:paraId="149A9C09" w14:textId="1261CA18" w:rsidR="00103386" w:rsidRDefault="00103386" w:rsidP="00B77F06">
      <w:pPr>
        <w:jc w:val="both"/>
      </w:pPr>
      <w:r>
        <w:t xml:space="preserve">A delegação brasileira apresentou interesse em compartilhar com os países parceiros as próximas chamadas </w:t>
      </w:r>
      <w:r w:rsidR="00CE3BB0">
        <w:t xml:space="preserve">para submissão de propostas </w:t>
      </w:r>
      <w:r>
        <w:t>de projetos no âmbito d</w:t>
      </w:r>
      <w:r w:rsidR="00CB0074">
        <w:t>o</w:t>
      </w:r>
      <w:r w:rsidR="00CE3BB0">
        <w:t>s Programas</w:t>
      </w:r>
      <w:r>
        <w:t xml:space="preserve"> </w:t>
      </w:r>
      <w:r w:rsidR="00CE3BB0">
        <w:t>PDP e PDIL,</w:t>
      </w:r>
      <w:r w:rsidR="00E9155B">
        <w:t xml:space="preserve"> além de outras inciativas </w:t>
      </w:r>
      <w:r w:rsidR="001834DC">
        <w:t>voltadas para a promoção da capacidade produtiva.</w:t>
      </w:r>
    </w:p>
    <w:p w14:paraId="25981D46" w14:textId="77777777" w:rsidR="00162CCC" w:rsidRDefault="00162CCC" w:rsidP="00B77F06">
      <w:pPr>
        <w:jc w:val="both"/>
      </w:pPr>
    </w:p>
    <w:p w14:paraId="5B14CE1D" w14:textId="4D8A38FE" w:rsidR="00162CCC" w:rsidRDefault="00162CCC" w:rsidP="00B77F06">
      <w:pPr>
        <w:jc w:val="both"/>
      </w:pPr>
      <w:r>
        <w:t xml:space="preserve">Concluiu-se </w:t>
      </w:r>
      <w:r w:rsidR="009C0EA1">
        <w:t>a discussão dos tópicos da agenda</w:t>
      </w:r>
      <w:r w:rsidR="00966ADE">
        <w:t xml:space="preserve"> e informa-se que todas as apresentações seguem anexas a esta Ata</w:t>
      </w:r>
      <w:r w:rsidR="009C0EA1">
        <w:t>.</w:t>
      </w:r>
    </w:p>
    <w:p w14:paraId="1F0B297B" w14:textId="4B258E29" w:rsidR="0012006B" w:rsidRDefault="0012006B" w:rsidP="00BF3B4F"/>
    <w:p w14:paraId="17F0887B" w14:textId="77777777" w:rsidR="00FF474F" w:rsidRPr="00C84B01" w:rsidRDefault="00FF474F" w:rsidP="00FA4CE0"/>
    <w:p w14:paraId="74AEA26B" w14:textId="60E858E4" w:rsidR="004F4931" w:rsidRPr="00C84B01" w:rsidRDefault="00C84B01" w:rsidP="0077517E">
      <w:pPr>
        <w:pStyle w:val="Prrafodelista"/>
        <w:numPr>
          <w:ilvl w:val="0"/>
          <w:numId w:val="1"/>
        </w:numPr>
        <w:ind w:left="709" w:hanging="720"/>
        <w:jc w:val="both"/>
        <w:rPr>
          <w:b/>
          <w:bCs/>
        </w:rPr>
      </w:pPr>
      <w:r w:rsidRPr="00C84B01">
        <w:rPr>
          <w:b/>
          <w:bCs/>
        </w:rPr>
        <w:t xml:space="preserve">RELATÓRIO SEMESTRAL SOBRE O GRAU DE AVANÇO DO PROGRAMA DE TRABALHO DO PERÍODO </w:t>
      </w:r>
      <w:r w:rsidR="0077517E" w:rsidRPr="00C84B01">
        <w:rPr>
          <w:b/>
          <w:bCs/>
        </w:rPr>
        <w:t>2025-2026</w:t>
      </w:r>
    </w:p>
    <w:p w14:paraId="3D1E076B" w14:textId="77777777" w:rsidR="0077517E" w:rsidRPr="00C84B01" w:rsidRDefault="0077517E" w:rsidP="00C84B01">
      <w:pPr>
        <w:rPr>
          <w:b/>
          <w:bCs/>
        </w:rPr>
      </w:pPr>
    </w:p>
    <w:p w14:paraId="5D14A3CC" w14:textId="17096B6E" w:rsidR="00920F26" w:rsidRDefault="00920F26" w:rsidP="00675C3B">
      <w:pPr>
        <w:jc w:val="both"/>
      </w:pPr>
      <w:r>
        <w:t>Em relação ao relatório semestral sobre o grau de avanço do programa de trabalho do período 2025-2026,</w:t>
      </w:r>
      <w:r w:rsidR="00043EDD">
        <w:t xml:space="preserve"> identificado em </w:t>
      </w:r>
      <w:r w:rsidR="00043EDD" w:rsidRPr="00043EDD">
        <w:rPr>
          <w:b/>
          <w:bCs/>
        </w:rPr>
        <w:t>Anexo I</w:t>
      </w:r>
      <w:r w:rsidR="00043EDD">
        <w:rPr>
          <w:b/>
          <w:bCs/>
        </w:rPr>
        <w:t>II</w:t>
      </w:r>
      <w:r w:rsidR="00043EDD">
        <w:t>,</w:t>
      </w:r>
      <w:r>
        <w:t xml:space="preserve"> esta CIECPR avaliou os seguintes avanços</w:t>
      </w:r>
      <w:r w:rsidR="005C3969">
        <w:t xml:space="preserve"> nos objetivos identificados</w:t>
      </w:r>
      <w:r>
        <w:t>:</w:t>
      </w:r>
    </w:p>
    <w:p w14:paraId="5BA8653A" w14:textId="77777777" w:rsidR="00920F26" w:rsidRDefault="00920F26" w:rsidP="00675C3B">
      <w:pPr>
        <w:jc w:val="both"/>
      </w:pPr>
    </w:p>
    <w:p w14:paraId="72766FB7" w14:textId="77777777" w:rsidR="001D46AD" w:rsidRDefault="000D7AA9" w:rsidP="000D7AA9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C42C3A">
        <w:rPr>
          <w:lang w:val="pt-PT"/>
        </w:rPr>
        <w:t>Analisar a produção e o acesso a soros terapêuticos em geral, bem como a antivenenos e antitoxinas em particular.</w:t>
      </w:r>
    </w:p>
    <w:p w14:paraId="5BE4C37F" w14:textId="77777777" w:rsidR="005D0545" w:rsidRDefault="005D0545" w:rsidP="005D0545">
      <w:pPr>
        <w:pStyle w:val="Prrafodelista"/>
        <w:jc w:val="both"/>
        <w:rPr>
          <w:lang w:val="pt-PT"/>
        </w:rPr>
      </w:pPr>
    </w:p>
    <w:p w14:paraId="78E01518" w14:textId="50E57869" w:rsidR="001D46AD" w:rsidRPr="00DE6C91" w:rsidRDefault="001D46AD" w:rsidP="00DE6C91">
      <w:pPr>
        <w:jc w:val="both"/>
        <w:rPr>
          <w:lang w:val="pt-PT"/>
        </w:rPr>
      </w:pPr>
      <w:r w:rsidRPr="00DE6C91">
        <w:rPr>
          <w:lang w:val="pt-PT"/>
        </w:rPr>
        <w:t xml:space="preserve">Em relação a esta tarefa, </w:t>
      </w:r>
      <w:r w:rsidR="00A73D85" w:rsidRPr="00DE6C91">
        <w:rPr>
          <w:lang w:val="pt-PT"/>
        </w:rPr>
        <w:t xml:space="preserve">a presidência </w:t>
      </w:r>
      <w:r w:rsidR="00A73D85" w:rsidRPr="00DE6C91">
        <w:rPr>
          <w:i/>
          <w:iCs/>
          <w:lang w:val="pt-PT"/>
        </w:rPr>
        <w:t>pro tempore</w:t>
      </w:r>
      <w:r w:rsidR="00A73D85" w:rsidRPr="00DE6C91">
        <w:rPr>
          <w:lang w:val="pt-PT"/>
        </w:rPr>
        <w:t xml:space="preserve"> apresentou o aumento da capacidade produtiva para a produção de soros e antivenenos, em especial do Instituto Butantan. </w:t>
      </w:r>
      <w:r w:rsidR="000021D5" w:rsidRPr="00DE6C91">
        <w:rPr>
          <w:lang w:val="pt-PT"/>
        </w:rPr>
        <w:t xml:space="preserve">Nesta temática, </w:t>
      </w:r>
      <w:r w:rsidR="00A63E1F" w:rsidRPr="00DE6C91">
        <w:rPr>
          <w:lang w:val="pt-PT"/>
        </w:rPr>
        <w:t xml:space="preserve">identificou-se que o cenário de migração de </w:t>
      </w:r>
      <w:r w:rsidR="00A63E1F" w:rsidRPr="00DE6C91">
        <w:rPr>
          <w:lang w:val="pt-PT"/>
        </w:rPr>
        <w:lastRenderedPageBreak/>
        <w:t xml:space="preserve">animais escorpiônicos </w:t>
      </w:r>
      <w:r w:rsidR="00723BCE" w:rsidRPr="00DE6C91">
        <w:rPr>
          <w:lang w:val="pt-PT"/>
        </w:rPr>
        <w:t xml:space="preserve">se estenderá pela região do </w:t>
      </w:r>
      <w:r w:rsidR="00F20B26" w:rsidRPr="00DE6C91">
        <w:rPr>
          <w:lang w:val="pt-PT"/>
        </w:rPr>
        <w:t>MERCOSUL</w:t>
      </w:r>
      <w:r w:rsidR="00723BCE" w:rsidRPr="00DE6C91">
        <w:rPr>
          <w:lang w:val="pt-PT"/>
        </w:rPr>
        <w:t xml:space="preserve">, o que gerará </w:t>
      </w:r>
      <w:r w:rsidR="0087514A" w:rsidRPr="00DE6C91">
        <w:rPr>
          <w:lang w:val="pt-PT"/>
        </w:rPr>
        <w:t>um desafio sanitário</w:t>
      </w:r>
      <w:r w:rsidR="00FB545F">
        <w:rPr>
          <w:lang w:val="pt-PT"/>
        </w:rPr>
        <w:t>,</w:t>
      </w:r>
      <w:r w:rsidR="0087514A" w:rsidRPr="00DE6C91">
        <w:rPr>
          <w:lang w:val="pt-PT"/>
        </w:rPr>
        <w:t xml:space="preserve"> de manejo dos animais, de identificação </w:t>
      </w:r>
      <w:r w:rsidR="00845A62" w:rsidRPr="00DE6C91">
        <w:rPr>
          <w:lang w:val="pt-PT"/>
        </w:rPr>
        <w:t xml:space="preserve">rápida dos acidentes e </w:t>
      </w:r>
      <w:r w:rsidR="0087514A" w:rsidRPr="00DE6C91">
        <w:rPr>
          <w:lang w:val="pt-PT"/>
        </w:rPr>
        <w:t xml:space="preserve">de </w:t>
      </w:r>
      <w:r w:rsidR="00845A62" w:rsidRPr="00DE6C91">
        <w:rPr>
          <w:lang w:val="pt-PT"/>
        </w:rPr>
        <w:t xml:space="preserve">oferta de </w:t>
      </w:r>
      <w:r w:rsidR="0087514A" w:rsidRPr="00DE6C91">
        <w:rPr>
          <w:lang w:val="pt-PT"/>
        </w:rPr>
        <w:t>tratamento.</w:t>
      </w:r>
      <w:r w:rsidR="00D26B4D">
        <w:rPr>
          <w:lang w:val="pt-PT"/>
        </w:rPr>
        <w:t xml:space="preserve"> </w:t>
      </w:r>
      <w:r w:rsidR="00D9210A">
        <w:rPr>
          <w:lang w:val="pt-PT"/>
        </w:rPr>
        <w:t>Os representantes identificaram que, a partir da apresentação do process</w:t>
      </w:r>
      <w:r w:rsidR="00FB545F">
        <w:rPr>
          <w:lang w:val="pt-PT"/>
        </w:rPr>
        <w:t>o</w:t>
      </w:r>
      <w:r w:rsidR="00D9210A">
        <w:rPr>
          <w:lang w:val="pt-PT"/>
        </w:rPr>
        <w:t xml:space="preserve"> produtivo, há uma etapa crítica </w:t>
      </w:r>
      <w:r w:rsidR="000605E1">
        <w:rPr>
          <w:lang w:val="pt-PT"/>
        </w:rPr>
        <w:t xml:space="preserve">relacionada a obtenção das espécies dos animais, assim como a extração e obtenção do veneno. </w:t>
      </w:r>
      <w:r w:rsidR="00DD5052">
        <w:rPr>
          <w:lang w:val="pt-PT"/>
        </w:rPr>
        <w:t xml:space="preserve">A partir disso, sugeriu-se avaliação de arranjos regionais </w:t>
      </w:r>
      <w:r w:rsidR="00016CD7">
        <w:rPr>
          <w:lang w:val="pt-PT"/>
        </w:rPr>
        <w:t>para cooperação em diferentes etapas do processo. Além disso, d</w:t>
      </w:r>
      <w:r w:rsidR="00A37466">
        <w:rPr>
          <w:lang w:val="pt-PT"/>
        </w:rPr>
        <w:t xml:space="preserve">urante as discussões, </w:t>
      </w:r>
      <w:r w:rsidR="00975C38">
        <w:rPr>
          <w:lang w:val="pt-PT"/>
        </w:rPr>
        <w:t xml:space="preserve">identificou-se que o aumento da capacidade produtiva de laboratórios brasileiros e argentinos, oportunamente, poderão ser considerados para o fornecimento de demandas regionais. </w:t>
      </w:r>
      <w:r w:rsidR="0087514A" w:rsidRPr="00DE6C91">
        <w:rPr>
          <w:lang w:val="pt-PT"/>
        </w:rPr>
        <w:t>E</w:t>
      </w:r>
      <w:r w:rsidR="005D0545" w:rsidRPr="00DE6C91">
        <w:rPr>
          <w:lang w:val="pt-PT"/>
        </w:rPr>
        <w:t>sta CIECPR</w:t>
      </w:r>
      <w:r w:rsidR="00845A62" w:rsidRPr="00DE6C91">
        <w:rPr>
          <w:lang w:val="pt-PT"/>
        </w:rPr>
        <w:t xml:space="preserve"> se comprometeu a dar continuidade às discussões deste tópico </w:t>
      </w:r>
      <w:r w:rsidR="002E6D4C">
        <w:rPr>
          <w:lang w:val="pt-PT"/>
        </w:rPr>
        <w:t xml:space="preserve">a partir da formação oportuna de um grupo de trabalho para </w:t>
      </w:r>
      <w:r w:rsidR="00845A62" w:rsidRPr="00DE6C91">
        <w:rPr>
          <w:lang w:val="pt-PT"/>
        </w:rPr>
        <w:t>promover o acesso à informação adequada e ao tratamento na região.</w:t>
      </w:r>
    </w:p>
    <w:p w14:paraId="06F66FF0" w14:textId="77777777" w:rsidR="001D46AD" w:rsidRDefault="001D46AD" w:rsidP="001D46AD">
      <w:pPr>
        <w:pStyle w:val="Prrafodelista"/>
        <w:jc w:val="both"/>
        <w:rPr>
          <w:lang w:val="pt-PT"/>
        </w:rPr>
      </w:pPr>
    </w:p>
    <w:p w14:paraId="5EFDCA03" w14:textId="77777777" w:rsidR="001D46AD" w:rsidRDefault="000D7AA9" w:rsidP="000D7AA9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1D46AD">
        <w:rPr>
          <w:lang w:val="pt-PT"/>
        </w:rPr>
        <w:t>Analisar a produção e o acesso a vacinas.</w:t>
      </w:r>
    </w:p>
    <w:p w14:paraId="500AF1C9" w14:textId="77777777" w:rsidR="00845A62" w:rsidRDefault="00845A62" w:rsidP="00845A62">
      <w:pPr>
        <w:jc w:val="both"/>
        <w:rPr>
          <w:lang w:val="pt-PT"/>
        </w:rPr>
      </w:pPr>
    </w:p>
    <w:p w14:paraId="6E0C9121" w14:textId="6951C2A3" w:rsidR="00DE6C91" w:rsidRPr="00C52D91" w:rsidRDefault="00DE6C91" w:rsidP="00F045D8">
      <w:pPr>
        <w:jc w:val="both"/>
        <w:rPr>
          <w:lang w:val="pt-PT"/>
        </w:rPr>
      </w:pPr>
      <w:r w:rsidRPr="00DE6C91">
        <w:rPr>
          <w:lang w:val="pt-PT"/>
        </w:rPr>
        <w:t xml:space="preserve">Em relação a esta tarefa, a presidência </w:t>
      </w:r>
      <w:r w:rsidRPr="00DE6C91">
        <w:rPr>
          <w:i/>
          <w:iCs/>
          <w:lang w:val="pt-PT"/>
        </w:rPr>
        <w:t>pro tempore</w:t>
      </w:r>
      <w:r w:rsidRPr="00DE6C91">
        <w:rPr>
          <w:lang w:val="pt-PT"/>
        </w:rPr>
        <w:t xml:space="preserve"> apresentou </w:t>
      </w:r>
      <w:r>
        <w:rPr>
          <w:lang w:val="pt-PT"/>
        </w:rPr>
        <w:t xml:space="preserve">as iniciativas em políticas públicas para o aumento das capacidades produtivas, por meio do Programa PDP com as recentes </w:t>
      </w:r>
      <w:r w:rsidR="00E06948">
        <w:rPr>
          <w:lang w:val="pt-PT"/>
        </w:rPr>
        <w:t xml:space="preserve">aprovações. Identificou-se que nos arranjos propostos há a possibilidade de participação de empresas nacionais dos países membros. </w:t>
      </w:r>
      <w:r w:rsidR="00365D20">
        <w:rPr>
          <w:lang w:val="pt-PT"/>
        </w:rPr>
        <w:t xml:space="preserve">A presidência </w:t>
      </w:r>
      <w:r w:rsidR="00C52D91">
        <w:rPr>
          <w:i/>
          <w:iCs/>
          <w:lang w:val="pt-PT"/>
        </w:rPr>
        <w:t>pro tempore</w:t>
      </w:r>
      <w:r w:rsidR="00C52D91">
        <w:rPr>
          <w:lang w:val="pt-PT"/>
        </w:rPr>
        <w:t xml:space="preserve"> em avanço a esta temática, irá compartilhar as futuras chamadas públicas de apresentação de propostas de projetos</w:t>
      </w:r>
      <w:r w:rsidR="00F045D8">
        <w:rPr>
          <w:lang w:val="pt-PT"/>
        </w:rPr>
        <w:t xml:space="preserve"> para compartilhamento com empresas nacionais, após avaliação das autoridades concernentes</w:t>
      </w:r>
      <w:r w:rsidR="00C52D91">
        <w:rPr>
          <w:lang w:val="pt-PT"/>
        </w:rPr>
        <w:t xml:space="preserve">. Ademais, apresentou-se os avanços das iniciativas de produção e desenvolvimento de vacinas de RNAm </w:t>
      </w:r>
      <w:r w:rsidR="002B6A7B">
        <w:rPr>
          <w:lang w:val="pt-PT"/>
        </w:rPr>
        <w:t>destacado a participação de insti</w:t>
      </w:r>
      <w:r w:rsidR="00A70EF1">
        <w:rPr>
          <w:lang w:val="pt-PT"/>
        </w:rPr>
        <w:t>tuição brasileira, Bio-Manguinhos, e de instituição argentina, Sinergium</w:t>
      </w:r>
      <w:r w:rsidR="00F045D8">
        <w:rPr>
          <w:lang w:val="pt-PT"/>
        </w:rPr>
        <w:t>.</w:t>
      </w:r>
    </w:p>
    <w:p w14:paraId="61DDE98C" w14:textId="77777777" w:rsidR="00DE6C91" w:rsidRPr="00845A62" w:rsidRDefault="00DE6C91" w:rsidP="00845A62">
      <w:pPr>
        <w:jc w:val="both"/>
        <w:rPr>
          <w:lang w:val="pt-PT"/>
        </w:rPr>
      </w:pPr>
    </w:p>
    <w:p w14:paraId="502D6118" w14:textId="77777777" w:rsidR="001D46AD" w:rsidRDefault="000D7AA9" w:rsidP="000D7AA9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0D7AA9">
        <w:rPr>
          <w:lang w:val="pt-PT"/>
        </w:rPr>
        <w:t>Analisar a produção e o acesso a produtos biológicos órfãos estratégicos.</w:t>
      </w:r>
    </w:p>
    <w:p w14:paraId="03ED37FB" w14:textId="77777777" w:rsidR="00934920" w:rsidRDefault="00934920" w:rsidP="00934920">
      <w:pPr>
        <w:jc w:val="both"/>
        <w:rPr>
          <w:lang w:val="pt-PT"/>
        </w:rPr>
      </w:pPr>
    </w:p>
    <w:p w14:paraId="04FAC0B4" w14:textId="28816DB4" w:rsidR="005530E5" w:rsidRPr="00DE6C91" w:rsidRDefault="00934920" w:rsidP="005530E5">
      <w:pPr>
        <w:jc w:val="both"/>
        <w:rPr>
          <w:lang w:val="pt-PT"/>
        </w:rPr>
      </w:pPr>
      <w:r w:rsidRPr="00DE6C91">
        <w:rPr>
          <w:lang w:val="pt-PT"/>
        </w:rPr>
        <w:t xml:space="preserve">Em relação a esta tarefa, a presidência </w:t>
      </w:r>
      <w:r w:rsidRPr="00DE6C91">
        <w:rPr>
          <w:i/>
          <w:iCs/>
          <w:lang w:val="pt-PT"/>
        </w:rPr>
        <w:t>pro tempore</w:t>
      </w:r>
      <w:r w:rsidRPr="00DE6C91">
        <w:rPr>
          <w:lang w:val="pt-PT"/>
        </w:rPr>
        <w:t xml:space="preserve"> apresentou </w:t>
      </w:r>
      <w:r>
        <w:rPr>
          <w:lang w:val="pt-PT"/>
        </w:rPr>
        <w:t xml:space="preserve">as iniciativas </w:t>
      </w:r>
      <w:r w:rsidR="00A92B61">
        <w:rPr>
          <w:lang w:val="pt-PT"/>
        </w:rPr>
        <w:t xml:space="preserve">em </w:t>
      </w:r>
      <w:r>
        <w:rPr>
          <w:lang w:val="pt-PT"/>
        </w:rPr>
        <w:t>políticas públicas para o aumento das capacidades produtivas</w:t>
      </w:r>
      <w:r w:rsidR="00A92B61">
        <w:rPr>
          <w:lang w:val="pt-PT"/>
        </w:rPr>
        <w:t xml:space="preserve"> que incluem produtos órfãos estratégicos e negligenciados que estão identicados na </w:t>
      </w:r>
      <w:r w:rsidR="00D518D1">
        <w:rPr>
          <w:lang w:val="pt-PT"/>
        </w:rPr>
        <w:t>Matriz de Desafios Produtivos e Tecnológicos em Saúde</w:t>
      </w:r>
      <w:r w:rsidR="00671DD1">
        <w:rPr>
          <w:lang w:val="pt-PT"/>
        </w:rPr>
        <w:t xml:space="preserve"> </w:t>
      </w:r>
      <w:r w:rsidR="00CA4F03">
        <w:rPr>
          <w:lang w:val="pt-PT"/>
        </w:rPr>
        <w:t>apresentada pelo Ministério da Saúde do Brasil</w:t>
      </w:r>
      <w:r w:rsidR="00A92B61">
        <w:rPr>
          <w:lang w:val="pt-PT"/>
        </w:rPr>
        <w:t>.</w:t>
      </w:r>
      <w:r w:rsidR="00E748AF">
        <w:rPr>
          <w:lang w:val="pt-PT"/>
        </w:rPr>
        <w:t xml:space="preserve"> </w:t>
      </w:r>
      <w:r w:rsidR="005530E5" w:rsidRPr="00DE6C91">
        <w:rPr>
          <w:lang w:val="pt-PT"/>
        </w:rPr>
        <w:t xml:space="preserve">Esta CIECPR se comprometeu a dar continuidade às discussões deste tópico </w:t>
      </w:r>
      <w:r w:rsidR="005530E5">
        <w:rPr>
          <w:lang w:val="pt-PT"/>
        </w:rPr>
        <w:t xml:space="preserve">a partir da formação oportuna de um grupo de trabalho </w:t>
      </w:r>
      <w:r w:rsidR="00612A1F">
        <w:rPr>
          <w:lang w:val="pt-PT"/>
        </w:rPr>
        <w:t>e interação com outras comissões intra-</w:t>
      </w:r>
      <w:r w:rsidR="00F20B26">
        <w:rPr>
          <w:lang w:val="pt-PT"/>
        </w:rPr>
        <w:t xml:space="preserve">MERCOSUL </w:t>
      </w:r>
      <w:r w:rsidR="005530E5">
        <w:rPr>
          <w:lang w:val="pt-PT"/>
        </w:rPr>
        <w:t>para</w:t>
      </w:r>
      <w:r w:rsidR="0059725D">
        <w:rPr>
          <w:lang w:val="pt-PT"/>
        </w:rPr>
        <w:t xml:space="preserve"> identificar os desafios em comum</w:t>
      </w:r>
      <w:r w:rsidR="00E50445">
        <w:rPr>
          <w:lang w:val="pt-PT"/>
        </w:rPr>
        <w:t xml:space="preserve"> e</w:t>
      </w:r>
      <w:r w:rsidR="005530E5">
        <w:rPr>
          <w:lang w:val="pt-PT"/>
        </w:rPr>
        <w:t xml:space="preserve"> </w:t>
      </w:r>
      <w:r w:rsidR="005530E5" w:rsidRPr="00DE6C91">
        <w:rPr>
          <w:lang w:val="pt-PT"/>
        </w:rPr>
        <w:t xml:space="preserve">promover </w:t>
      </w:r>
      <w:r w:rsidR="005425CE">
        <w:rPr>
          <w:lang w:val="pt-PT"/>
        </w:rPr>
        <w:t xml:space="preserve">a capacidade produtiva </w:t>
      </w:r>
      <w:r w:rsidR="005530E5" w:rsidRPr="00DE6C91">
        <w:rPr>
          <w:lang w:val="pt-PT"/>
        </w:rPr>
        <w:t>na região.</w:t>
      </w:r>
      <w:r w:rsidR="00612A1F">
        <w:rPr>
          <w:lang w:val="pt-PT"/>
        </w:rPr>
        <w:t xml:space="preserve"> </w:t>
      </w:r>
    </w:p>
    <w:p w14:paraId="2AC93EF1" w14:textId="77777777" w:rsidR="00934920" w:rsidRPr="00934920" w:rsidRDefault="00934920" w:rsidP="00934920">
      <w:pPr>
        <w:jc w:val="both"/>
        <w:rPr>
          <w:lang w:val="pt-PT"/>
        </w:rPr>
      </w:pPr>
    </w:p>
    <w:p w14:paraId="1B8C0A4B" w14:textId="77777777" w:rsidR="001D46AD" w:rsidRDefault="000D7AA9" w:rsidP="000D7AA9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1D46AD">
        <w:rPr>
          <w:lang w:val="pt-PT"/>
        </w:rPr>
        <w:t>Analisar a produção de reagentes diagnósticos para uso in vitro/in vivo.</w:t>
      </w:r>
    </w:p>
    <w:p w14:paraId="4513BC89" w14:textId="77777777" w:rsidR="00E748AF" w:rsidRDefault="00E748AF" w:rsidP="00E748AF">
      <w:pPr>
        <w:jc w:val="both"/>
        <w:rPr>
          <w:lang w:val="pt-PT"/>
        </w:rPr>
      </w:pPr>
    </w:p>
    <w:p w14:paraId="4D7CC79E" w14:textId="39F3073E" w:rsidR="00FF06D5" w:rsidRPr="00E748AF" w:rsidRDefault="00E748AF" w:rsidP="00E748AF">
      <w:pPr>
        <w:jc w:val="both"/>
        <w:rPr>
          <w:lang w:val="pt-PT"/>
        </w:rPr>
      </w:pPr>
      <w:r>
        <w:rPr>
          <w:lang w:val="pt-PT"/>
        </w:rPr>
        <w:t xml:space="preserve">Em relação a esta tarefa, a presidência </w:t>
      </w:r>
      <w:r>
        <w:rPr>
          <w:i/>
          <w:iCs/>
          <w:lang w:val="pt-PT"/>
        </w:rPr>
        <w:t>pro tempore</w:t>
      </w:r>
      <w:r>
        <w:rPr>
          <w:lang w:val="pt-PT"/>
        </w:rPr>
        <w:t xml:space="preserve"> </w:t>
      </w:r>
      <w:r w:rsidR="00912A46">
        <w:rPr>
          <w:lang w:val="pt-PT"/>
        </w:rPr>
        <w:t xml:space="preserve">apresentou a iniciativa que está sendo desenvolvido curso formativo sobre reagentes para diagnósticos pela Fiocruz </w:t>
      </w:r>
      <w:r w:rsidR="005B1373">
        <w:rPr>
          <w:lang w:val="pt-PT"/>
        </w:rPr>
        <w:t xml:space="preserve">a ser lançado em 2026 </w:t>
      </w:r>
      <w:r w:rsidR="00912A46">
        <w:rPr>
          <w:lang w:val="pt-PT"/>
        </w:rPr>
        <w:t xml:space="preserve">e oportunamente </w:t>
      </w:r>
      <w:r w:rsidR="005B1373">
        <w:rPr>
          <w:lang w:val="pt-PT"/>
        </w:rPr>
        <w:t>disponibilizado aos países membros.</w:t>
      </w:r>
      <w:r w:rsidR="009B544F">
        <w:rPr>
          <w:lang w:val="pt-PT"/>
        </w:rPr>
        <w:t xml:space="preserve"> A proposta é a primeira iniciativa para avançar n</w:t>
      </w:r>
      <w:r w:rsidR="0074156B">
        <w:rPr>
          <w:lang w:val="pt-PT"/>
        </w:rPr>
        <w:t>esta atividade.</w:t>
      </w:r>
    </w:p>
    <w:p w14:paraId="7E171662" w14:textId="77777777" w:rsidR="00E748AF" w:rsidRPr="00E748AF" w:rsidRDefault="00E748AF" w:rsidP="00E748AF">
      <w:pPr>
        <w:jc w:val="both"/>
        <w:rPr>
          <w:lang w:val="pt-PT"/>
        </w:rPr>
      </w:pPr>
    </w:p>
    <w:p w14:paraId="72F0C7C8" w14:textId="77777777" w:rsidR="001D46AD" w:rsidRDefault="000D7AA9" w:rsidP="000D7AA9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1D46AD">
        <w:rPr>
          <w:lang w:val="pt-PT"/>
        </w:rPr>
        <w:t>Analisar a produção e o acesso a insumos farmacêuticos ativos (IFAs).</w:t>
      </w:r>
    </w:p>
    <w:p w14:paraId="7557EA65" w14:textId="77777777" w:rsidR="00B87DA2" w:rsidRDefault="00B87DA2" w:rsidP="00B87DA2">
      <w:pPr>
        <w:jc w:val="both"/>
        <w:rPr>
          <w:lang w:val="pt-PT"/>
        </w:rPr>
      </w:pPr>
    </w:p>
    <w:p w14:paraId="5377E9F0" w14:textId="0D6D4256" w:rsidR="00B87DA2" w:rsidRDefault="000D09D0" w:rsidP="00B87DA2">
      <w:pPr>
        <w:jc w:val="both"/>
        <w:rPr>
          <w:lang w:val="pt-PT"/>
        </w:rPr>
      </w:pPr>
      <w:r w:rsidRPr="00DE6C91">
        <w:rPr>
          <w:lang w:val="pt-PT"/>
        </w:rPr>
        <w:t xml:space="preserve">Em relação a esta tarefa, a presidência </w:t>
      </w:r>
      <w:r w:rsidRPr="00DE6C91">
        <w:rPr>
          <w:i/>
          <w:iCs/>
          <w:lang w:val="pt-PT"/>
        </w:rPr>
        <w:t>pro tempore</w:t>
      </w:r>
      <w:r w:rsidRPr="00DE6C91">
        <w:rPr>
          <w:lang w:val="pt-PT"/>
        </w:rPr>
        <w:t xml:space="preserve"> apresentou </w:t>
      </w:r>
      <w:r>
        <w:rPr>
          <w:lang w:val="pt-PT"/>
        </w:rPr>
        <w:t xml:space="preserve">as iniciativas em políticas públicas para o aumento das capacidades produtivas que incluem produtos </w:t>
      </w:r>
      <w:r w:rsidR="00CA0189">
        <w:rPr>
          <w:lang w:val="pt-PT"/>
        </w:rPr>
        <w:t xml:space="preserve">e IFAs </w:t>
      </w:r>
      <w:r>
        <w:rPr>
          <w:lang w:val="pt-PT"/>
        </w:rPr>
        <w:t xml:space="preserve">identicados na </w:t>
      </w:r>
      <w:r w:rsidR="00D518D1">
        <w:rPr>
          <w:lang w:val="pt-PT"/>
        </w:rPr>
        <w:t xml:space="preserve">Matriz de Desafios Produtivos e Tecnológicos em </w:t>
      </w:r>
      <w:r w:rsidR="00D518D1">
        <w:rPr>
          <w:lang w:val="pt-PT"/>
        </w:rPr>
        <w:lastRenderedPageBreak/>
        <w:t>Saúde</w:t>
      </w:r>
      <w:r w:rsidR="00671DD1">
        <w:rPr>
          <w:lang w:val="pt-PT"/>
        </w:rPr>
        <w:t xml:space="preserve"> apresentada pelo Ministério da Saúde do Brasil</w:t>
      </w:r>
      <w:r>
        <w:rPr>
          <w:lang w:val="pt-PT"/>
        </w:rPr>
        <w:t xml:space="preserve">. </w:t>
      </w:r>
      <w:r w:rsidRPr="00DE6C91">
        <w:rPr>
          <w:lang w:val="pt-PT"/>
        </w:rPr>
        <w:t xml:space="preserve">Esta CIECPR se comprometeu a dar continuidade às discussões deste tópico </w:t>
      </w:r>
      <w:r>
        <w:rPr>
          <w:lang w:val="pt-PT"/>
        </w:rPr>
        <w:t>a partir da oportuna interação com outras comissões intra-</w:t>
      </w:r>
      <w:r w:rsidR="00F20B26">
        <w:rPr>
          <w:lang w:val="pt-PT"/>
        </w:rPr>
        <w:t xml:space="preserve">MERCOSUL </w:t>
      </w:r>
      <w:r>
        <w:rPr>
          <w:lang w:val="pt-PT"/>
        </w:rPr>
        <w:t xml:space="preserve">para identificar os desafios em comum e </w:t>
      </w:r>
      <w:r w:rsidRPr="00DE6C91">
        <w:rPr>
          <w:lang w:val="pt-PT"/>
        </w:rPr>
        <w:t xml:space="preserve">promover </w:t>
      </w:r>
      <w:r>
        <w:rPr>
          <w:lang w:val="pt-PT"/>
        </w:rPr>
        <w:t xml:space="preserve">a capacidade produtiva </w:t>
      </w:r>
      <w:r w:rsidRPr="00DE6C91">
        <w:rPr>
          <w:lang w:val="pt-PT"/>
        </w:rPr>
        <w:t>na região.</w:t>
      </w:r>
    </w:p>
    <w:p w14:paraId="2C8A79E4" w14:textId="77777777" w:rsidR="006A1916" w:rsidRPr="00B87DA2" w:rsidRDefault="006A1916" w:rsidP="00B87DA2">
      <w:pPr>
        <w:jc w:val="both"/>
        <w:rPr>
          <w:lang w:val="pt-PT"/>
        </w:rPr>
      </w:pPr>
    </w:p>
    <w:p w14:paraId="16710D93" w14:textId="0BACDD46" w:rsidR="001D46AD" w:rsidRDefault="000D7AA9" w:rsidP="000D7AA9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1D46AD">
        <w:rPr>
          <w:lang w:val="pt-PT"/>
        </w:rPr>
        <w:t>T</w:t>
      </w:r>
      <w:r w:rsidR="00894AA3">
        <w:rPr>
          <w:lang w:val="pt-PT"/>
        </w:rPr>
        <w:t>ransferência t</w:t>
      </w:r>
      <w:r w:rsidRPr="001D46AD">
        <w:rPr>
          <w:lang w:val="pt-PT"/>
        </w:rPr>
        <w:t>ecnol</w:t>
      </w:r>
      <w:r w:rsidR="00894AA3">
        <w:rPr>
          <w:lang w:val="pt-PT"/>
        </w:rPr>
        <w:t xml:space="preserve">ógica e </w:t>
      </w:r>
      <w:r w:rsidRPr="001D46AD">
        <w:rPr>
          <w:lang w:val="pt-PT"/>
        </w:rPr>
        <w:t>estratégica.</w:t>
      </w:r>
    </w:p>
    <w:p w14:paraId="52683620" w14:textId="77777777" w:rsidR="00894AA3" w:rsidRDefault="00894AA3" w:rsidP="00894AA3">
      <w:pPr>
        <w:jc w:val="both"/>
        <w:rPr>
          <w:lang w:val="pt-PT"/>
        </w:rPr>
      </w:pPr>
    </w:p>
    <w:p w14:paraId="064FA49D" w14:textId="33C1A2EE" w:rsidR="006B5CBB" w:rsidRDefault="006B5CBB" w:rsidP="006B5CBB">
      <w:pPr>
        <w:jc w:val="both"/>
        <w:rPr>
          <w:lang w:val="pt-PT"/>
        </w:rPr>
      </w:pPr>
      <w:r w:rsidRPr="00DE6C91">
        <w:rPr>
          <w:lang w:val="pt-PT"/>
        </w:rPr>
        <w:t xml:space="preserve">Em relação a esta tarefa, a presidência </w:t>
      </w:r>
      <w:r w:rsidRPr="00DE6C91">
        <w:rPr>
          <w:i/>
          <w:iCs/>
          <w:lang w:val="pt-PT"/>
        </w:rPr>
        <w:t>pro tempore</w:t>
      </w:r>
      <w:r w:rsidRPr="00DE6C91">
        <w:rPr>
          <w:lang w:val="pt-PT"/>
        </w:rPr>
        <w:t xml:space="preserve"> apresentou </w:t>
      </w:r>
      <w:r>
        <w:rPr>
          <w:lang w:val="pt-PT"/>
        </w:rPr>
        <w:t xml:space="preserve">as iniciativas em políticas públicas para o aumento das capacidades produtivas que incluem </w:t>
      </w:r>
      <w:r w:rsidR="009E294B">
        <w:rPr>
          <w:lang w:val="pt-PT"/>
        </w:rPr>
        <w:t>instr</w:t>
      </w:r>
      <w:r w:rsidR="00AC375E">
        <w:rPr>
          <w:lang w:val="pt-PT"/>
        </w:rPr>
        <w:t>u</w:t>
      </w:r>
      <w:r w:rsidR="009E294B">
        <w:rPr>
          <w:lang w:val="pt-PT"/>
        </w:rPr>
        <w:t>mentos de transferência de tecnologia</w:t>
      </w:r>
      <w:r>
        <w:rPr>
          <w:lang w:val="pt-PT"/>
        </w:rPr>
        <w:t xml:space="preserve">. </w:t>
      </w:r>
      <w:r w:rsidRPr="00DE6C91">
        <w:rPr>
          <w:lang w:val="pt-PT"/>
        </w:rPr>
        <w:t xml:space="preserve">Esta CIECPR se comprometeu a dar continuidade às discussões deste tópico </w:t>
      </w:r>
      <w:r>
        <w:rPr>
          <w:lang w:val="pt-PT"/>
        </w:rPr>
        <w:t>a partir da oportuna interação com outras comissões intra-</w:t>
      </w:r>
      <w:r w:rsidR="00F20B26">
        <w:rPr>
          <w:lang w:val="pt-PT"/>
        </w:rPr>
        <w:t xml:space="preserve">MERCOSUL </w:t>
      </w:r>
      <w:r>
        <w:rPr>
          <w:lang w:val="pt-PT"/>
        </w:rPr>
        <w:t xml:space="preserve">para identificar os desafios em comum e </w:t>
      </w:r>
      <w:r w:rsidRPr="00DE6C91">
        <w:rPr>
          <w:lang w:val="pt-PT"/>
        </w:rPr>
        <w:t xml:space="preserve">promover </w:t>
      </w:r>
      <w:r>
        <w:rPr>
          <w:lang w:val="pt-PT"/>
        </w:rPr>
        <w:t xml:space="preserve">a capacidade produtiva </w:t>
      </w:r>
      <w:r w:rsidRPr="00DE6C91">
        <w:rPr>
          <w:lang w:val="pt-PT"/>
        </w:rPr>
        <w:t>na região.</w:t>
      </w:r>
      <w:r w:rsidR="00E40CB8">
        <w:rPr>
          <w:lang w:val="pt-PT"/>
        </w:rPr>
        <w:t xml:space="preserve"> </w:t>
      </w:r>
      <w:r w:rsidR="00F07EBA">
        <w:rPr>
          <w:lang w:val="pt-PT"/>
        </w:rPr>
        <w:t xml:space="preserve">Esclarece-se que o tema de trasnferência de tecnologia </w:t>
      </w:r>
      <w:r w:rsidR="009374CA">
        <w:rPr>
          <w:lang w:val="pt-PT"/>
        </w:rPr>
        <w:t>é considerado no âmbito deste grupo com</w:t>
      </w:r>
      <w:r w:rsidR="006172C2">
        <w:rPr>
          <w:lang w:val="pt-PT"/>
        </w:rPr>
        <w:t xml:space="preserve"> colaboração técnica e</w:t>
      </w:r>
      <w:r w:rsidR="009374CA">
        <w:rPr>
          <w:lang w:val="pt-PT"/>
        </w:rPr>
        <w:t xml:space="preserve"> ferramenta essencial para a concretização dos objetivos e tópicos discutidos.</w:t>
      </w:r>
    </w:p>
    <w:p w14:paraId="32349AAA" w14:textId="77777777" w:rsidR="00894AA3" w:rsidRPr="00894AA3" w:rsidRDefault="00894AA3" w:rsidP="00894AA3">
      <w:pPr>
        <w:jc w:val="both"/>
        <w:rPr>
          <w:lang w:val="pt-PT"/>
        </w:rPr>
      </w:pPr>
    </w:p>
    <w:p w14:paraId="5A1AFFFE" w14:textId="6A67F133" w:rsidR="001D46AD" w:rsidRDefault="000D7AA9" w:rsidP="000D7AA9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1D46AD">
        <w:rPr>
          <w:lang w:val="pt-PT"/>
        </w:rPr>
        <w:t>Trocar experiências em biossegurança, biocontenção e bio</w:t>
      </w:r>
      <w:r w:rsidR="00046658">
        <w:rPr>
          <w:lang w:val="pt-PT"/>
        </w:rPr>
        <w:t>custódia</w:t>
      </w:r>
      <w:r w:rsidRPr="001D46AD">
        <w:rPr>
          <w:lang w:val="pt-PT"/>
        </w:rPr>
        <w:t>.</w:t>
      </w:r>
    </w:p>
    <w:p w14:paraId="23E0A26B" w14:textId="77777777" w:rsidR="00A119F7" w:rsidRDefault="00A119F7" w:rsidP="00A119F7">
      <w:pPr>
        <w:jc w:val="both"/>
        <w:rPr>
          <w:lang w:val="pt-PT"/>
        </w:rPr>
      </w:pPr>
    </w:p>
    <w:p w14:paraId="202AF446" w14:textId="733FA087" w:rsidR="00A119F7" w:rsidRDefault="00A119F7" w:rsidP="00A119F7">
      <w:pPr>
        <w:jc w:val="both"/>
        <w:rPr>
          <w:lang w:val="pt-PT"/>
        </w:rPr>
      </w:pPr>
      <w:r>
        <w:rPr>
          <w:lang w:val="pt-PT"/>
        </w:rPr>
        <w:t xml:space="preserve">Em relação a esta tarefa, a presidência </w:t>
      </w:r>
      <w:r>
        <w:rPr>
          <w:i/>
          <w:iCs/>
          <w:lang w:val="pt-PT"/>
        </w:rPr>
        <w:t>pro tempore</w:t>
      </w:r>
      <w:r>
        <w:rPr>
          <w:lang w:val="pt-PT"/>
        </w:rPr>
        <w:t xml:space="preserve"> não avançou em sua agenda nas discussões específicas relacionadas a este tópico.</w:t>
      </w:r>
      <w:r w:rsidR="00981D4F">
        <w:rPr>
          <w:lang w:val="pt-PT"/>
        </w:rPr>
        <w:t xml:space="preserve"> Contudo, considerou-se que este tópico é importante </w:t>
      </w:r>
      <w:r w:rsidR="00DE3541">
        <w:rPr>
          <w:lang w:val="pt-PT"/>
        </w:rPr>
        <w:t xml:space="preserve">e sugeriu que </w:t>
      </w:r>
      <w:r w:rsidR="00F740B3">
        <w:rPr>
          <w:lang w:val="pt-PT"/>
        </w:rPr>
        <w:t>a partir da identificação de cada país acerca das normativas nacionais</w:t>
      </w:r>
      <w:r w:rsidR="00390D2C">
        <w:rPr>
          <w:lang w:val="pt-PT"/>
        </w:rPr>
        <w:t>,</w:t>
      </w:r>
      <w:r w:rsidR="00DE3541">
        <w:rPr>
          <w:lang w:val="pt-PT"/>
        </w:rPr>
        <w:t xml:space="preserve"> este tópico possa ser aprofundado nas próximas reuni</w:t>
      </w:r>
      <w:r w:rsidR="00BD5B1A">
        <w:rPr>
          <w:lang w:val="pt-PT"/>
        </w:rPr>
        <w:t>õe</w:t>
      </w:r>
      <w:r w:rsidR="002842E2">
        <w:rPr>
          <w:lang w:val="pt-PT"/>
        </w:rPr>
        <w:t>s.</w:t>
      </w:r>
    </w:p>
    <w:p w14:paraId="21E4071F" w14:textId="77777777" w:rsidR="00A119F7" w:rsidRPr="00A119F7" w:rsidRDefault="00A119F7" w:rsidP="00A119F7">
      <w:pPr>
        <w:jc w:val="both"/>
        <w:rPr>
          <w:lang w:val="pt-PT"/>
        </w:rPr>
      </w:pPr>
    </w:p>
    <w:p w14:paraId="54A8560D" w14:textId="77777777" w:rsidR="001D46AD" w:rsidRDefault="000D7AA9" w:rsidP="000D7AA9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1D46AD">
        <w:rPr>
          <w:lang w:val="pt-PT"/>
        </w:rPr>
        <w:t>Trocar experiências em gestão logística regional abrangente.</w:t>
      </w:r>
    </w:p>
    <w:p w14:paraId="15895472" w14:textId="77777777" w:rsidR="00B2537C" w:rsidRDefault="00B2537C" w:rsidP="00B2537C">
      <w:pPr>
        <w:jc w:val="both"/>
        <w:rPr>
          <w:lang w:val="pt-PT"/>
        </w:rPr>
      </w:pPr>
    </w:p>
    <w:p w14:paraId="077A0BB2" w14:textId="438BBF42" w:rsidR="00B2537C" w:rsidRDefault="00B2537C" w:rsidP="00B2537C">
      <w:pPr>
        <w:jc w:val="both"/>
        <w:rPr>
          <w:lang w:val="pt-PT"/>
        </w:rPr>
      </w:pPr>
      <w:r>
        <w:rPr>
          <w:lang w:val="pt-PT"/>
        </w:rPr>
        <w:t xml:space="preserve">Em relação a esta tarefa, a presidência </w:t>
      </w:r>
      <w:r>
        <w:rPr>
          <w:i/>
          <w:iCs/>
          <w:lang w:val="pt-PT"/>
        </w:rPr>
        <w:t>pro tempore</w:t>
      </w:r>
      <w:r>
        <w:rPr>
          <w:lang w:val="pt-PT"/>
        </w:rPr>
        <w:t xml:space="preserve"> não avançou em sua agenda nas discussões específicas relacionadas a este tópico.</w:t>
      </w:r>
      <w:r w:rsidR="00CD6E53">
        <w:rPr>
          <w:lang w:val="pt-PT"/>
        </w:rPr>
        <w:t xml:space="preserve"> Contudo, considerou-se que este tópico é importante </w:t>
      </w:r>
      <w:r w:rsidR="00E54E5A">
        <w:rPr>
          <w:lang w:val="pt-PT"/>
        </w:rPr>
        <w:t>para o aprofundamento da cooperação entre os países membros.</w:t>
      </w:r>
    </w:p>
    <w:p w14:paraId="7E04E015" w14:textId="77777777" w:rsidR="00B2537C" w:rsidRPr="00B2537C" w:rsidRDefault="00B2537C" w:rsidP="00B2537C">
      <w:pPr>
        <w:jc w:val="both"/>
        <w:rPr>
          <w:lang w:val="pt-PT"/>
        </w:rPr>
      </w:pPr>
    </w:p>
    <w:p w14:paraId="2F071DD7" w14:textId="77777777" w:rsidR="001D46AD" w:rsidRDefault="000D7AA9" w:rsidP="000D7AA9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1D46AD">
        <w:rPr>
          <w:lang w:val="pt-PT"/>
        </w:rPr>
        <w:t>Promover cursos de formação de recursos humanos: desenvolvimento e produção de vacinas 2025.</w:t>
      </w:r>
    </w:p>
    <w:p w14:paraId="31B3FD78" w14:textId="77777777" w:rsidR="00B2537C" w:rsidRDefault="00B2537C" w:rsidP="00B2537C">
      <w:pPr>
        <w:jc w:val="both"/>
        <w:rPr>
          <w:lang w:val="pt-PT"/>
        </w:rPr>
      </w:pPr>
    </w:p>
    <w:p w14:paraId="28CF4B09" w14:textId="04C3434D" w:rsidR="00455750" w:rsidRPr="00DB69D8" w:rsidRDefault="00455750" w:rsidP="00DB69D8">
      <w:pPr>
        <w:ind w:left="-11"/>
        <w:jc w:val="both"/>
      </w:pPr>
      <w:r w:rsidRPr="00DE6C91">
        <w:rPr>
          <w:lang w:val="pt-PT"/>
        </w:rPr>
        <w:t xml:space="preserve">Em relação a esta tarefa, a presidência </w:t>
      </w:r>
      <w:r w:rsidRPr="00DE6C91">
        <w:rPr>
          <w:i/>
          <w:iCs/>
          <w:lang w:val="pt-PT"/>
        </w:rPr>
        <w:t>pro tempore</w:t>
      </w:r>
      <w:r w:rsidRPr="00DE6C91">
        <w:rPr>
          <w:lang w:val="pt-PT"/>
        </w:rPr>
        <w:t xml:space="preserve"> apresentou </w:t>
      </w:r>
      <w:r>
        <w:rPr>
          <w:lang w:val="pt-PT"/>
        </w:rPr>
        <w:t>o relatório da 2ª edição do</w:t>
      </w:r>
      <w:r w:rsidRPr="0012006B">
        <w:t xml:space="preserve"> Curso de Desenvolvimento e</w:t>
      </w:r>
      <w:r>
        <w:t xml:space="preserve"> </w:t>
      </w:r>
      <w:r w:rsidRPr="0012006B">
        <w:t>Produção de Vacinas,</w:t>
      </w:r>
      <w:r>
        <w:t xml:space="preserve"> </w:t>
      </w:r>
      <w:r w:rsidRPr="0012006B">
        <w:t>parceria da F</w:t>
      </w:r>
      <w:r>
        <w:t>undação Oswaldo C</w:t>
      </w:r>
      <w:r w:rsidRPr="0012006B">
        <w:t>ruz</w:t>
      </w:r>
      <w:r>
        <w:t xml:space="preserve"> (Fiocruz)</w:t>
      </w:r>
      <w:r w:rsidRPr="0012006B">
        <w:t>, Instituto Butantan e</w:t>
      </w:r>
      <w:r>
        <w:t xml:space="preserve"> </w:t>
      </w:r>
      <w:r w:rsidRPr="0012006B">
        <w:t>Organização Pan-Americana da Saúde (OPAS)</w:t>
      </w:r>
      <w:r w:rsidR="00F663A3">
        <w:t xml:space="preserve"> realizado no ano de 2025</w:t>
      </w:r>
      <w:r w:rsidRPr="0012006B">
        <w:t>.</w:t>
      </w:r>
      <w:r>
        <w:t xml:space="preserve"> Este curso é </w:t>
      </w:r>
      <w:r w:rsidR="00F663A3">
        <w:t xml:space="preserve">resultado de </w:t>
      </w:r>
      <w:r>
        <w:t xml:space="preserve">iniciativa </w:t>
      </w:r>
      <w:r w:rsidR="00F663A3">
        <w:t xml:space="preserve">proposta no âmbito </w:t>
      </w:r>
      <w:r>
        <w:t>desta comissão em reuniões anteriores e registrou-se que esta ação foi bem sucedida.</w:t>
      </w:r>
      <w:r w:rsidR="00DB69D8">
        <w:t xml:space="preserve"> Apresentou-se a perspectiva de melhoramentos em próximas edições do curso, assim como o aproveitamento de outros curso</w:t>
      </w:r>
      <w:r w:rsidR="0048330C">
        <w:t>s</w:t>
      </w:r>
      <w:r w:rsidR="00DB69D8">
        <w:t xml:space="preserve"> formativos e complementares.</w:t>
      </w:r>
    </w:p>
    <w:p w14:paraId="0F99EB26" w14:textId="77777777" w:rsidR="00455750" w:rsidRDefault="00455750" w:rsidP="00B2537C">
      <w:pPr>
        <w:jc w:val="both"/>
        <w:rPr>
          <w:lang w:val="pt-PT"/>
        </w:rPr>
      </w:pPr>
    </w:p>
    <w:p w14:paraId="152ED394" w14:textId="77777777" w:rsidR="00FA4CE0" w:rsidRDefault="00FA4CE0" w:rsidP="00B2537C">
      <w:pPr>
        <w:jc w:val="both"/>
        <w:rPr>
          <w:lang w:val="pt-PT"/>
        </w:rPr>
      </w:pPr>
    </w:p>
    <w:p w14:paraId="46D78B7E" w14:textId="77777777" w:rsidR="00FA4CE0" w:rsidRDefault="00FA4CE0" w:rsidP="00B2537C">
      <w:pPr>
        <w:jc w:val="both"/>
        <w:rPr>
          <w:lang w:val="pt-PT"/>
        </w:rPr>
      </w:pPr>
    </w:p>
    <w:p w14:paraId="23FD2B8B" w14:textId="77777777" w:rsidR="00FA4CE0" w:rsidRDefault="00FA4CE0" w:rsidP="00B2537C">
      <w:pPr>
        <w:jc w:val="both"/>
        <w:rPr>
          <w:lang w:val="pt-PT"/>
        </w:rPr>
      </w:pPr>
    </w:p>
    <w:p w14:paraId="30828989" w14:textId="77777777" w:rsidR="00FA4CE0" w:rsidRDefault="00FA4CE0" w:rsidP="00B2537C">
      <w:pPr>
        <w:jc w:val="both"/>
        <w:rPr>
          <w:lang w:val="pt-PT"/>
        </w:rPr>
      </w:pPr>
    </w:p>
    <w:p w14:paraId="147B80CF" w14:textId="77777777" w:rsidR="00FA4CE0" w:rsidRPr="00B2537C" w:rsidRDefault="00FA4CE0" w:rsidP="00B2537C">
      <w:pPr>
        <w:jc w:val="both"/>
        <w:rPr>
          <w:lang w:val="pt-PT"/>
        </w:rPr>
      </w:pPr>
    </w:p>
    <w:p w14:paraId="2F16964F" w14:textId="77777777" w:rsidR="001D46AD" w:rsidRDefault="000D7AA9" w:rsidP="00675C3B">
      <w:pPr>
        <w:pStyle w:val="Prrafodelista"/>
        <w:numPr>
          <w:ilvl w:val="0"/>
          <w:numId w:val="10"/>
        </w:numPr>
        <w:jc w:val="both"/>
        <w:rPr>
          <w:lang w:val="pt-PT"/>
        </w:rPr>
      </w:pPr>
      <w:r w:rsidRPr="001D46AD">
        <w:rPr>
          <w:lang w:val="pt-PT"/>
        </w:rPr>
        <w:lastRenderedPageBreak/>
        <w:t>Realizar levantamento das demandas estratégicas por medicamentos, imunizantes e tecnologias em saúde (entendidos como insumos farmacêuticos ativos, medicamentos, imunizantes, reagentes para uso diagnóstico, etc.) em seus diversos processos (desenvolvimento, formulação, fabricação, produto final, distribuição, etc.) e demais insumos da cadeia de valor, visando à realização de um mapeamento institucional regional.</w:t>
      </w:r>
    </w:p>
    <w:p w14:paraId="32B6F698" w14:textId="77777777" w:rsidR="00DB69D8" w:rsidRDefault="00DB69D8" w:rsidP="00DB69D8">
      <w:pPr>
        <w:jc w:val="both"/>
        <w:rPr>
          <w:lang w:val="pt-PT"/>
        </w:rPr>
      </w:pPr>
    </w:p>
    <w:p w14:paraId="463703C7" w14:textId="1C6FEC6E" w:rsidR="006B7F99" w:rsidRPr="00094ADC" w:rsidRDefault="00DB69D8" w:rsidP="0077517E">
      <w:pPr>
        <w:jc w:val="both"/>
        <w:rPr>
          <w:lang w:val="pt-PT"/>
        </w:rPr>
      </w:pPr>
      <w:r w:rsidRPr="00DE6C91">
        <w:rPr>
          <w:lang w:val="pt-PT"/>
        </w:rPr>
        <w:t xml:space="preserve">Em relação a esta tarefa, a presidência </w:t>
      </w:r>
      <w:r w:rsidRPr="00DE6C91">
        <w:rPr>
          <w:i/>
          <w:iCs/>
          <w:lang w:val="pt-PT"/>
        </w:rPr>
        <w:t>pro tempore</w:t>
      </w:r>
      <w:r w:rsidRPr="00DE6C91">
        <w:rPr>
          <w:lang w:val="pt-PT"/>
        </w:rPr>
        <w:t xml:space="preserve"> apresentou </w:t>
      </w:r>
      <w:r>
        <w:rPr>
          <w:lang w:val="pt-PT"/>
        </w:rPr>
        <w:t>as iniciativas em políticas públicas para o aumento das capacidades produtivas que incluem</w:t>
      </w:r>
      <w:r w:rsidR="00DE5946">
        <w:rPr>
          <w:lang w:val="pt-PT"/>
        </w:rPr>
        <w:t xml:space="preserve"> os Programas</w:t>
      </w:r>
      <w:r>
        <w:rPr>
          <w:lang w:val="pt-PT"/>
        </w:rPr>
        <w:t xml:space="preserve"> de PDP</w:t>
      </w:r>
      <w:r w:rsidR="00DE5946">
        <w:rPr>
          <w:lang w:val="pt-PT"/>
        </w:rPr>
        <w:t xml:space="preserve"> e PDIL</w:t>
      </w:r>
      <w:r w:rsidR="00806456">
        <w:rPr>
          <w:lang w:val="pt-PT"/>
        </w:rPr>
        <w:t xml:space="preserve"> que são </w:t>
      </w:r>
      <w:r w:rsidR="00EF3C82">
        <w:rPr>
          <w:lang w:val="pt-PT"/>
        </w:rPr>
        <w:t xml:space="preserve">orientados </w:t>
      </w:r>
      <w:r w:rsidR="008B46ED">
        <w:rPr>
          <w:lang w:val="pt-PT"/>
        </w:rPr>
        <w:t>pela</w:t>
      </w:r>
      <w:r>
        <w:rPr>
          <w:lang w:val="pt-PT"/>
        </w:rPr>
        <w:t xml:space="preserve"> Matriz de Desafios Produtivos</w:t>
      </w:r>
      <w:r w:rsidR="00D518D1">
        <w:rPr>
          <w:lang w:val="pt-PT"/>
        </w:rPr>
        <w:t xml:space="preserve"> e Tecnológicos em Saúde</w:t>
      </w:r>
      <w:r>
        <w:rPr>
          <w:lang w:val="pt-PT"/>
        </w:rPr>
        <w:t xml:space="preserve">. Esta CIECPR identificou a necessidade de estabelecer um grupo de trabalho para dar continuidade as </w:t>
      </w:r>
      <w:r w:rsidR="00EC4FA4">
        <w:rPr>
          <w:lang w:val="pt-PT"/>
        </w:rPr>
        <w:t xml:space="preserve">ações e tarefas deste Programa </w:t>
      </w:r>
      <w:r w:rsidR="000B0590">
        <w:rPr>
          <w:lang w:val="pt-PT"/>
        </w:rPr>
        <w:t>de Trabalho</w:t>
      </w:r>
      <w:r>
        <w:rPr>
          <w:lang w:val="pt-PT"/>
        </w:rPr>
        <w:t xml:space="preserve">, </w:t>
      </w:r>
      <w:r w:rsidR="00FC786D">
        <w:rPr>
          <w:lang w:val="pt-PT"/>
        </w:rPr>
        <w:t xml:space="preserve">envolvendo </w:t>
      </w:r>
      <w:r w:rsidR="00976256">
        <w:rPr>
          <w:lang w:val="pt-PT"/>
        </w:rPr>
        <w:t xml:space="preserve">desafios em saúde </w:t>
      </w:r>
      <w:r w:rsidR="0000402A">
        <w:rPr>
          <w:lang w:val="pt-PT"/>
        </w:rPr>
        <w:t>comu</w:t>
      </w:r>
      <w:r w:rsidR="00976256">
        <w:rPr>
          <w:lang w:val="pt-PT"/>
        </w:rPr>
        <w:t>ns</w:t>
      </w:r>
      <w:r w:rsidR="0000402A">
        <w:rPr>
          <w:lang w:val="pt-PT"/>
        </w:rPr>
        <w:t xml:space="preserve"> para </w:t>
      </w:r>
      <w:r w:rsidR="00C44DA0">
        <w:rPr>
          <w:lang w:val="pt-PT"/>
        </w:rPr>
        <w:t xml:space="preserve">prospecção e </w:t>
      </w:r>
      <w:r w:rsidR="0000402A">
        <w:rPr>
          <w:lang w:val="pt-PT"/>
        </w:rPr>
        <w:t>diálogos</w:t>
      </w:r>
      <w:r w:rsidR="00C44DA0">
        <w:rPr>
          <w:lang w:val="pt-PT"/>
        </w:rPr>
        <w:t xml:space="preserve"> entre os setores públicos e privados</w:t>
      </w:r>
      <w:r w:rsidR="000B0590">
        <w:rPr>
          <w:lang w:val="pt-PT"/>
        </w:rPr>
        <w:t xml:space="preserve">. </w:t>
      </w:r>
      <w:r w:rsidR="00A11425">
        <w:rPr>
          <w:lang w:val="pt-PT"/>
        </w:rPr>
        <w:t>Por conguinte</w:t>
      </w:r>
      <w:r w:rsidR="008B0DF2">
        <w:rPr>
          <w:lang w:val="pt-PT"/>
        </w:rPr>
        <w:t xml:space="preserve">, as partes possam propor arranjos </w:t>
      </w:r>
      <w:r w:rsidR="007C2082">
        <w:rPr>
          <w:lang w:val="pt-PT"/>
        </w:rPr>
        <w:t xml:space="preserve">conforme </w:t>
      </w:r>
      <w:r w:rsidR="00164C5D">
        <w:rPr>
          <w:lang w:val="pt-PT"/>
        </w:rPr>
        <w:t>tratativas e atividades desenvolvidas.</w:t>
      </w:r>
    </w:p>
    <w:p w14:paraId="4BCD5227" w14:textId="77777777" w:rsidR="006B7F99" w:rsidRDefault="006B7F99" w:rsidP="0077517E">
      <w:pPr>
        <w:jc w:val="both"/>
        <w:rPr>
          <w:b/>
          <w:bCs/>
        </w:rPr>
      </w:pPr>
    </w:p>
    <w:p w14:paraId="6FC73377" w14:textId="77777777" w:rsidR="006A1916" w:rsidRDefault="006A1916" w:rsidP="0077517E">
      <w:pPr>
        <w:jc w:val="both"/>
        <w:rPr>
          <w:b/>
          <w:bCs/>
        </w:rPr>
      </w:pPr>
    </w:p>
    <w:p w14:paraId="60737502" w14:textId="4798CBC0" w:rsidR="0077517E" w:rsidRPr="00C84B01" w:rsidRDefault="0077517E" w:rsidP="0077517E">
      <w:pPr>
        <w:jc w:val="both"/>
        <w:rPr>
          <w:b/>
          <w:bCs/>
        </w:rPr>
      </w:pPr>
      <w:r w:rsidRPr="00C84B01">
        <w:rPr>
          <w:b/>
          <w:bCs/>
        </w:rPr>
        <w:t xml:space="preserve">PRÓXIMA REUNIÃO </w:t>
      </w:r>
    </w:p>
    <w:p w14:paraId="2E5ABE52" w14:textId="77777777" w:rsidR="0077517E" w:rsidRPr="00C84B01" w:rsidRDefault="0077517E" w:rsidP="0077517E">
      <w:pPr>
        <w:jc w:val="both"/>
        <w:rPr>
          <w:b/>
          <w:bCs/>
        </w:rPr>
      </w:pPr>
    </w:p>
    <w:p w14:paraId="37385911" w14:textId="50157547" w:rsidR="0077517E" w:rsidRPr="00C84B01" w:rsidRDefault="00C12725" w:rsidP="0077517E">
      <w:pPr>
        <w:jc w:val="both"/>
      </w:pPr>
      <w:r>
        <w:t>A p</w:t>
      </w:r>
      <w:r w:rsidR="0077517E" w:rsidRPr="00C84B01">
        <w:t>róxima reunião</w:t>
      </w:r>
      <w:r>
        <w:t xml:space="preserve"> será oportunamente convocada pela PPTP.</w:t>
      </w:r>
    </w:p>
    <w:p w14:paraId="64233A76" w14:textId="77777777" w:rsidR="0077517E" w:rsidRPr="00C84B01" w:rsidRDefault="0077517E" w:rsidP="0077517E">
      <w:pPr>
        <w:jc w:val="both"/>
      </w:pPr>
    </w:p>
    <w:p w14:paraId="13AEA6FE" w14:textId="77777777" w:rsidR="00470097" w:rsidRPr="00C84B01" w:rsidRDefault="00470097" w:rsidP="0077517E">
      <w:pPr>
        <w:jc w:val="both"/>
      </w:pPr>
    </w:p>
    <w:p w14:paraId="68FC55C3" w14:textId="51AB2126" w:rsidR="0077517E" w:rsidRPr="00C84B01" w:rsidRDefault="0077517E" w:rsidP="0077517E">
      <w:pPr>
        <w:jc w:val="both"/>
        <w:rPr>
          <w:b/>
          <w:bCs/>
        </w:rPr>
      </w:pPr>
      <w:r w:rsidRPr="00C84B01">
        <w:rPr>
          <w:b/>
          <w:bCs/>
        </w:rPr>
        <w:t xml:space="preserve">LISTA DE ANEXOS </w:t>
      </w:r>
    </w:p>
    <w:p w14:paraId="4FD64703" w14:textId="77777777" w:rsidR="0077517E" w:rsidRPr="00C84B01" w:rsidRDefault="0077517E" w:rsidP="0077517E">
      <w:pPr>
        <w:jc w:val="both"/>
        <w:rPr>
          <w:b/>
          <w:bCs/>
        </w:rPr>
      </w:pPr>
    </w:p>
    <w:p w14:paraId="45890745" w14:textId="0F96A6EA" w:rsidR="0077517E" w:rsidRPr="00C84B01" w:rsidRDefault="0077517E" w:rsidP="0077517E">
      <w:pPr>
        <w:jc w:val="both"/>
      </w:pPr>
      <w:r w:rsidRPr="00C84B01">
        <w:t xml:space="preserve">Os Anexos que fazem parte da presente Ata são os seguintes: </w:t>
      </w:r>
    </w:p>
    <w:p w14:paraId="4DC125F2" w14:textId="77777777" w:rsidR="00C375C6" w:rsidRPr="00C84B01" w:rsidRDefault="00C375C6" w:rsidP="0077517E">
      <w:pPr>
        <w:jc w:val="both"/>
      </w:pPr>
    </w:p>
    <w:tbl>
      <w:tblPr>
        <w:tblW w:w="8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7087"/>
      </w:tblGrid>
      <w:tr w:rsidR="00C375C6" w:rsidRPr="00C84B01" w14:paraId="5A38085B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9988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rPr>
                <w:rFonts w:eastAsia="Arial" w:cs="Arial"/>
                <w:b/>
                <w:szCs w:val="24"/>
              </w:rPr>
              <w:t>Anexo 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B113" w14:textId="12B48F24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rPr>
                <w:rFonts w:eastAsia="Arial" w:cs="Arial"/>
                <w:szCs w:val="24"/>
              </w:rPr>
              <w:t>Lista</w:t>
            </w:r>
            <w:r w:rsidR="00407DE6">
              <w:rPr>
                <w:rFonts w:eastAsia="Arial" w:cs="Arial"/>
                <w:szCs w:val="24"/>
              </w:rPr>
              <w:t>s</w:t>
            </w:r>
            <w:r w:rsidRPr="00C84B01">
              <w:rPr>
                <w:rFonts w:eastAsia="Arial" w:cs="Arial"/>
                <w:szCs w:val="24"/>
              </w:rPr>
              <w:t xml:space="preserve"> de</w:t>
            </w:r>
            <w:r w:rsidR="00407DE6">
              <w:rPr>
                <w:rFonts w:eastAsia="Arial" w:cs="Arial"/>
                <w:szCs w:val="24"/>
              </w:rPr>
              <w:t xml:space="preserve"> presença dos p</w:t>
            </w:r>
            <w:r w:rsidRPr="00C84B01">
              <w:rPr>
                <w:rFonts w:eastAsia="Arial" w:cs="Arial"/>
                <w:szCs w:val="24"/>
              </w:rPr>
              <w:t>articipantes</w:t>
            </w:r>
          </w:p>
        </w:tc>
      </w:tr>
      <w:tr w:rsidR="00C375C6" w:rsidRPr="00C84B01" w14:paraId="05F3B1A2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7ED3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rPr>
                <w:rFonts w:eastAsia="Arial" w:cs="Arial"/>
                <w:b/>
                <w:szCs w:val="24"/>
              </w:rPr>
              <w:t>Anexo 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307C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rPr>
                <w:rFonts w:eastAsia="Arial" w:cs="Arial"/>
                <w:szCs w:val="24"/>
              </w:rPr>
              <w:t>Agenda</w:t>
            </w:r>
          </w:p>
        </w:tc>
      </w:tr>
      <w:tr w:rsidR="00C375C6" w:rsidRPr="00C84B01" w14:paraId="0B1DB3A4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4A3F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C84B01">
              <w:rPr>
                <w:rFonts w:eastAsia="Arial" w:cs="Arial"/>
                <w:b/>
                <w:szCs w:val="24"/>
              </w:rPr>
              <w:t>Anexo III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4E25" w14:textId="0E6BEFBD" w:rsidR="00C375C6" w:rsidRPr="00C84B01" w:rsidRDefault="00C84B01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t>Relatório Semestral sobre o grau de Avanço do Programa de Trabalho do Período 2025-2026</w:t>
            </w:r>
          </w:p>
        </w:tc>
      </w:tr>
      <w:tr w:rsidR="00C375C6" w:rsidRPr="00C84B01" w14:paraId="34022F53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5806" w14:textId="1AF63C5F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rPr>
                <w:rFonts w:eastAsia="Arial" w:cs="Arial"/>
                <w:b/>
                <w:szCs w:val="24"/>
              </w:rPr>
              <w:t>Anexo IV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8F8F" w14:textId="3B255A01" w:rsidR="00C375C6" w:rsidRPr="00C84B01" w:rsidRDefault="002C1CEA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Apresentação 2ª edição </w:t>
            </w:r>
            <w:r w:rsidR="00AB6009">
              <w:rPr>
                <w:rFonts w:eastAsia="Arial" w:cs="Arial"/>
                <w:szCs w:val="24"/>
              </w:rPr>
              <w:t xml:space="preserve">do </w:t>
            </w:r>
            <w:r w:rsidR="00AB6009" w:rsidRPr="00AB6009">
              <w:rPr>
                <w:rFonts w:eastAsia="Arial" w:cs="Arial"/>
                <w:szCs w:val="24"/>
              </w:rPr>
              <w:t>Curso</w:t>
            </w:r>
            <w:r w:rsidR="00AB6009">
              <w:rPr>
                <w:rFonts w:eastAsia="Arial" w:cs="Arial"/>
                <w:szCs w:val="24"/>
              </w:rPr>
              <w:t xml:space="preserve"> de</w:t>
            </w:r>
            <w:r w:rsidR="00AB6009" w:rsidRPr="00AB6009">
              <w:rPr>
                <w:rFonts w:eastAsia="Arial" w:cs="Arial"/>
                <w:szCs w:val="24"/>
              </w:rPr>
              <w:t xml:space="preserve"> Desenvolvimento e Produção de Vacinas e Biofármacos</w:t>
            </w:r>
          </w:p>
        </w:tc>
      </w:tr>
      <w:tr w:rsidR="00C375C6" w:rsidRPr="00C84B01" w14:paraId="0C084287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5CD7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C84B01">
              <w:rPr>
                <w:rFonts w:eastAsia="Arial" w:cs="Arial"/>
                <w:b/>
                <w:szCs w:val="24"/>
              </w:rPr>
              <w:t>Anexo 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8E34" w14:textId="15397C82" w:rsidR="00C375C6" w:rsidRPr="00C84B01" w:rsidRDefault="00256CC5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Apresentação do Programa de Parcerias para o Desenvolvimento Produtivo (PDP)</w:t>
            </w:r>
          </w:p>
        </w:tc>
      </w:tr>
      <w:tr w:rsidR="00ED4936" w:rsidRPr="00C84B01" w14:paraId="34401929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D641" w14:textId="305F084F" w:rsidR="00ED4936" w:rsidRPr="00C84B01" w:rsidRDefault="00ED4936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VI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6590" w14:textId="66DE3201" w:rsidR="00ED4936" w:rsidRDefault="00ED493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Apresentação do Programa de Desenvolvimento e Inovação Local</w:t>
            </w:r>
          </w:p>
        </w:tc>
      </w:tr>
      <w:tr w:rsidR="00ED4936" w:rsidRPr="00C84B01" w14:paraId="00C5221E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C81B" w14:textId="28073307" w:rsidR="00ED4936" w:rsidRDefault="00ED4936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VII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B7E8" w14:textId="1DE59E8A" w:rsidR="00ED4936" w:rsidRDefault="00B92A22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Apresentação </w:t>
            </w:r>
            <w:r w:rsidR="00A34229">
              <w:rPr>
                <w:rFonts w:eastAsia="Arial" w:cs="Arial"/>
                <w:szCs w:val="24"/>
              </w:rPr>
              <w:t xml:space="preserve">da </w:t>
            </w:r>
            <w:r w:rsidR="00A34229" w:rsidRPr="00A34229">
              <w:rPr>
                <w:rFonts w:eastAsia="Arial" w:cs="Arial"/>
                <w:szCs w:val="24"/>
              </w:rPr>
              <w:t>Coalizão Global para Produção Local e Regional, Inovação e Acesso Equitativo</w:t>
            </w:r>
          </w:p>
        </w:tc>
      </w:tr>
      <w:tr w:rsidR="00A34229" w:rsidRPr="00C84B01" w14:paraId="0866D476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7004" w14:textId="4FFE701A" w:rsidR="00A34229" w:rsidRDefault="00A34229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VIII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2D67" w14:textId="2622A428" w:rsidR="00A34229" w:rsidRDefault="00641432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Apresentação do Instituto Butantan</w:t>
            </w:r>
          </w:p>
        </w:tc>
      </w:tr>
      <w:tr w:rsidR="00641432" w:rsidRPr="00C84B01" w14:paraId="508A76AB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467D" w14:textId="3003F97D" w:rsidR="00641432" w:rsidRDefault="00641432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IX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28" w14:textId="4C65763E" w:rsidR="00641432" w:rsidRDefault="005D3CBC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Apresentação do Instituto de Tecnologia em Fármaco (Farmanguinhos)</w:t>
            </w:r>
          </w:p>
        </w:tc>
      </w:tr>
      <w:tr w:rsidR="005D3CBC" w:rsidRPr="00C84B01" w14:paraId="28E7474D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2CED" w14:textId="6A74BF0D" w:rsidR="005D3CBC" w:rsidRDefault="00325BC4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X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5477" w14:textId="60DB5131" w:rsidR="005D3CBC" w:rsidRDefault="00053AD9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Apresentação do Instituto de Tecnologia em Imunobiológicos (Bio-Manguinhos)</w:t>
            </w:r>
          </w:p>
        </w:tc>
      </w:tr>
      <w:tr w:rsidR="00053AD9" w:rsidRPr="00C84B01" w14:paraId="0EA30043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4A59" w14:textId="747ECC17" w:rsidR="00053AD9" w:rsidRDefault="00053AD9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XI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2FFD" w14:textId="6B9B81DA" w:rsidR="00053AD9" w:rsidRDefault="00720E24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Apresentação do Instituto Nacional de Controle de Qualidade em Saúde (INCQS)</w:t>
            </w:r>
          </w:p>
        </w:tc>
      </w:tr>
      <w:tr w:rsidR="00720E24" w:rsidRPr="00C84B01" w14:paraId="7862F777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3943" w14:textId="4E1C3930" w:rsidR="00720E24" w:rsidRDefault="00A2612A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XII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4B7" w14:textId="1191C716" w:rsidR="00720E24" w:rsidRDefault="00C738E5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Apresentação do Instituto de Tecnologia em Imunobiológicos (Bio-Manguinhos)</w:t>
            </w:r>
            <w:r w:rsidR="00A15CF9">
              <w:rPr>
                <w:rFonts w:eastAsia="Arial" w:cs="Arial"/>
                <w:szCs w:val="24"/>
              </w:rPr>
              <w:t xml:space="preserve"> – Plataforma de RNAm</w:t>
            </w:r>
          </w:p>
        </w:tc>
      </w:tr>
      <w:tr w:rsidR="00A15CF9" w:rsidRPr="00C84B01" w14:paraId="2478BCE5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4DE9" w14:textId="0EC10408" w:rsidR="00A15CF9" w:rsidRDefault="00A15CF9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 xml:space="preserve">Anexo </w:t>
            </w:r>
            <w:r w:rsidR="001046A9">
              <w:rPr>
                <w:rFonts w:eastAsia="Arial" w:cs="Arial"/>
                <w:b/>
                <w:szCs w:val="24"/>
              </w:rPr>
              <w:t>X</w:t>
            </w:r>
            <w:r>
              <w:rPr>
                <w:rFonts w:eastAsia="Arial" w:cs="Arial"/>
                <w:b/>
                <w:szCs w:val="24"/>
              </w:rPr>
              <w:t>III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DAEF" w14:textId="2CFF7834" w:rsidR="00A15CF9" w:rsidRDefault="002F2C3F" w:rsidP="001046A9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Apresentação</w:t>
            </w:r>
            <w:r w:rsidR="001046A9">
              <w:rPr>
                <w:rFonts w:eastAsia="Arial" w:cs="Arial"/>
                <w:szCs w:val="24"/>
              </w:rPr>
              <w:t xml:space="preserve"> do</w:t>
            </w:r>
            <w:r>
              <w:rPr>
                <w:rFonts w:eastAsia="Arial" w:cs="Arial"/>
                <w:szCs w:val="24"/>
              </w:rPr>
              <w:t xml:space="preserve"> </w:t>
            </w:r>
            <w:r w:rsidRPr="002F2C3F">
              <w:rPr>
                <w:rFonts w:eastAsia="Arial" w:cs="Arial"/>
              </w:rPr>
              <w:t xml:space="preserve">Programa Especial da Plataforma Regional de Inovação e </w:t>
            </w:r>
            <w:r w:rsidRPr="002F2C3F">
              <w:rPr>
                <w:rFonts w:eastAsia="Arial" w:cs="Arial"/>
                <w:szCs w:val="24"/>
              </w:rPr>
              <w:t>Produção da OPAS/OMS na América Latina</w:t>
            </w:r>
          </w:p>
        </w:tc>
      </w:tr>
      <w:tr w:rsidR="001046A9" w:rsidRPr="00C84B01" w14:paraId="63597963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DFB2" w14:textId="75A22DAB" w:rsidR="001046A9" w:rsidRDefault="001046A9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lastRenderedPageBreak/>
              <w:t>An</w:t>
            </w:r>
            <w:r w:rsidR="00696B93">
              <w:rPr>
                <w:rFonts w:eastAsia="Arial" w:cs="Arial"/>
                <w:b/>
                <w:szCs w:val="24"/>
              </w:rPr>
              <w:t>exo XIV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5C66" w14:textId="4ECF536C" w:rsidR="001046A9" w:rsidRDefault="00FA528D" w:rsidP="001046A9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Apresentação da capacidade produtiva de soros e antivenenos do Instituto Butantan</w:t>
            </w:r>
          </w:p>
        </w:tc>
      </w:tr>
      <w:tr w:rsidR="00FA528D" w:rsidRPr="00C84B01" w14:paraId="65D4537A" w14:textId="77777777" w:rsidTr="004552A1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229F" w14:textId="5BDFA702" w:rsidR="00FA528D" w:rsidRDefault="00FA528D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XV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E0DC" w14:textId="1745ADF4" w:rsidR="00FA528D" w:rsidRDefault="00FA528D" w:rsidP="001046A9">
            <w:pPr>
              <w:ind w:hanging="2"/>
              <w:jc w:val="both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Apresentação da </w:t>
            </w:r>
            <w:r w:rsidRPr="005363CF">
              <w:rPr>
                <w:rFonts w:eastAsia="Arial" w:cs="Arial"/>
                <w:szCs w:val="24"/>
              </w:rPr>
              <w:t>Matriz de Desafios Produtivos e Tecnológicos em Saúde</w:t>
            </w:r>
          </w:p>
        </w:tc>
      </w:tr>
    </w:tbl>
    <w:p w14:paraId="092352D0" w14:textId="77777777" w:rsidR="00C375C6" w:rsidRPr="00C84B01" w:rsidRDefault="00C375C6" w:rsidP="0077517E">
      <w:pPr>
        <w:jc w:val="both"/>
      </w:pPr>
    </w:p>
    <w:p w14:paraId="33029D83" w14:textId="77777777" w:rsidR="00C375C6" w:rsidRPr="00C84B01" w:rsidRDefault="00C375C6" w:rsidP="0077517E">
      <w:pPr>
        <w:jc w:val="both"/>
      </w:pPr>
    </w:p>
    <w:p w14:paraId="62C3E86E" w14:textId="77777777" w:rsidR="00C375C6" w:rsidRPr="00C84B01" w:rsidRDefault="00C375C6" w:rsidP="0077517E">
      <w:pPr>
        <w:jc w:val="both"/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C375C6" w:rsidRPr="00C84B01" w14:paraId="46982A70" w14:textId="77777777" w:rsidTr="0047009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BCD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7BD1EEE8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3FC728A7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566F5792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C84B01">
              <w:rPr>
                <w:rFonts w:eastAsia="Calibri" w:cs="Arial"/>
                <w:szCs w:val="24"/>
              </w:rPr>
              <w:t>___________________________</w:t>
            </w:r>
          </w:p>
          <w:p w14:paraId="087F7221" w14:textId="7BD902E6" w:rsidR="00C375C6" w:rsidRDefault="00C375C6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C84B01">
              <w:rPr>
                <w:rFonts w:eastAsia="Calibri" w:cs="Arial"/>
                <w:b/>
                <w:szCs w:val="24"/>
              </w:rPr>
              <w:t>P</w:t>
            </w:r>
            <w:r w:rsidR="00C84B01" w:rsidRPr="00C84B01">
              <w:rPr>
                <w:rFonts w:eastAsia="Calibri" w:cs="Arial"/>
                <w:b/>
                <w:szCs w:val="24"/>
              </w:rPr>
              <w:t>e</w:t>
            </w:r>
            <w:r w:rsidRPr="00C84B01">
              <w:rPr>
                <w:rFonts w:eastAsia="Calibri" w:cs="Arial"/>
                <w:b/>
                <w:szCs w:val="24"/>
              </w:rPr>
              <w:t xml:space="preserve">la </w:t>
            </w:r>
            <w:r w:rsidR="00C84B01" w:rsidRPr="00C84B01">
              <w:rPr>
                <w:rFonts w:eastAsia="Calibri" w:cs="Arial"/>
                <w:b/>
                <w:szCs w:val="24"/>
              </w:rPr>
              <w:t xml:space="preserve">delegação da </w:t>
            </w:r>
            <w:r w:rsidRPr="00C84B01">
              <w:rPr>
                <w:rFonts w:eastAsia="Calibri" w:cs="Arial"/>
                <w:b/>
                <w:szCs w:val="24"/>
              </w:rPr>
              <w:t>Argentina</w:t>
            </w:r>
          </w:p>
          <w:p w14:paraId="2E3AD544" w14:textId="0AE9D5AA" w:rsidR="00763FA2" w:rsidRPr="00763FA2" w:rsidRDefault="00E82B99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Claudio Alejandro Bonel</w:t>
            </w:r>
            <w:r w:rsidR="000A3C39">
              <w:rPr>
                <w:rFonts w:eastAsia="Calibri" w:cs="Arial"/>
                <w:bCs/>
                <w:szCs w:val="24"/>
              </w:rPr>
              <w:t xml:space="preserve"> </w:t>
            </w:r>
          </w:p>
          <w:p w14:paraId="1C4A19A8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61C70850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CD70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53541C80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5CD63A08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217D3573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C84B01">
              <w:rPr>
                <w:rFonts w:eastAsia="Calibri" w:cs="Arial"/>
                <w:szCs w:val="24"/>
              </w:rPr>
              <w:t>__________________________</w:t>
            </w:r>
          </w:p>
          <w:p w14:paraId="5B784FDF" w14:textId="22AB89A1" w:rsidR="00C375C6" w:rsidRPr="00C84B01" w:rsidRDefault="00C84B01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C84B01">
              <w:rPr>
                <w:rFonts w:eastAsia="Calibri" w:cs="Arial"/>
                <w:b/>
                <w:szCs w:val="24"/>
              </w:rPr>
              <w:t>Pela delegação d</w:t>
            </w:r>
            <w:r>
              <w:rPr>
                <w:rFonts w:eastAsia="Calibri" w:cs="Arial"/>
                <w:b/>
                <w:szCs w:val="24"/>
              </w:rPr>
              <w:t>o</w:t>
            </w:r>
            <w:r w:rsidR="00C375C6" w:rsidRPr="00C84B01">
              <w:rPr>
                <w:rFonts w:eastAsia="Calibri" w:cs="Arial"/>
                <w:b/>
                <w:szCs w:val="24"/>
              </w:rPr>
              <w:t xml:space="preserve"> Brasil</w:t>
            </w:r>
          </w:p>
          <w:p w14:paraId="430FDCD4" w14:textId="7387486B" w:rsidR="00763FA2" w:rsidRPr="00763FA2" w:rsidRDefault="009D4A0B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Maíra Ferreira Carneiro</w:t>
            </w:r>
          </w:p>
          <w:p w14:paraId="319D08B6" w14:textId="00C6D2AC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7063FAC4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</w:tc>
      </w:tr>
      <w:tr w:rsidR="00C375C6" w:rsidRPr="00C84B01" w14:paraId="2356C3D0" w14:textId="77777777" w:rsidTr="0047009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E0A1" w14:textId="77777777" w:rsidR="00C375C6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69D182E0" w14:textId="77777777" w:rsidR="00C84B01" w:rsidRPr="00C84B01" w:rsidRDefault="00C84B01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74D66770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C84B01">
              <w:rPr>
                <w:rFonts w:eastAsia="Calibri" w:cs="Arial"/>
                <w:szCs w:val="24"/>
              </w:rPr>
              <w:t>____________________________</w:t>
            </w:r>
          </w:p>
          <w:p w14:paraId="604B238E" w14:textId="0983DAF4" w:rsidR="00C375C6" w:rsidRPr="00C84B01" w:rsidRDefault="00C84B01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C84B01">
              <w:rPr>
                <w:rFonts w:eastAsia="Calibri" w:cs="Arial"/>
                <w:b/>
                <w:szCs w:val="24"/>
              </w:rPr>
              <w:t>Pela delegação d</w:t>
            </w:r>
            <w:r>
              <w:rPr>
                <w:rFonts w:eastAsia="Calibri" w:cs="Arial"/>
                <w:b/>
                <w:szCs w:val="24"/>
              </w:rPr>
              <w:t xml:space="preserve">o </w:t>
            </w:r>
            <w:r w:rsidR="00C375C6" w:rsidRPr="00C84B01">
              <w:rPr>
                <w:rFonts w:eastAsia="Calibri" w:cs="Arial"/>
                <w:b/>
                <w:szCs w:val="24"/>
              </w:rPr>
              <w:t>Paragua</w:t>
            </w:r>
            <w:r w:rsidR="00F25DB3">
              <w:rPr>
                <w:rFonts w:eastAsia="Calibri" w:cs="Arial"/>
                <w:b/>
                <w:szCs w:val="24"/>
              </w:rPr>
              <w:t>i</w:t>
            </w:r>
          </w:p>
          <w:p w14:paraId="52978B74" w14:textId="7715ACBB" w:rsidR="00763FA2" w:rsidRPr="00763FA2" w:rsidRDefault="009D4A0B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Migu</w:t>
            </w:r>
            <w:r w:rsidR="006C3E18">
              <w:rPr>
                <w:rFonts w:eastAsia="Calibri" w:cs="Arial"/>
                <w:bCs/>
                <w:szCs w:val="24"/>
              </w:rPr>
              <w:t>el López Rivas</w:t>
            </w:r>
          </w:p>
          <w:p w14:paraId="3D9FDFC5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0C657CBF" w14:textId="77777777" w:rsidR="00C375C6" w:rsidRPr="00C84B01" w:rsidRDefault="00C375C6" w:rsidP="00C84B01">
            <w:pPr>
              <w:widowControl w:val="0"/>
              <w:rPr>
                <w:rFonts w:eastAsia="Calibri" w:cs="Arial"/>
                <w:szCs w:val="24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519A" w14:textId="77777777" w:rsidR="00C375C6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2246D563" w14:textId="77777777" w:rsidR="00C84B01" w:rsidRPr="00C84B01" w:rsidRDefault="00C84B01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459A4CD9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C84B01">
              <w:rPr>
                <w:rFonts w:eastAsia="Calibri" w:cs="Arial"/>
                <w:szCs w:val="24"/>
              </w:rPr>
              <w:t>___________________________</w:t>
            </w:r>
          </w:p>
          <w:p w14:paraId="4B82FABF" w14:textId="44479A65" w:rsidR="00C375C6" w:rsidRPr="00C84B01" w:rsidRDefault="00C84B01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C84B01">
              <w:rPr>
                <w:rFonts w:eastAsia="Calibri" w:cs="Arial"/>
                <w:b/>
                <w:szCs w:val="24"/>
              </w:rPr>
              <w:t>Pela delegação d</w:t>
            </w:r>
            <w:r>
              <w:rPr>
                <w:rFonts w:eastAsia="Calibri" w:cs="Arial"/>
                <w:b/>
                <w:szCs w:val="24"/>
              </w:rPr>
              <w:t xml:space="preserve">o </w:t>
            </w:r>
            <w:r w:rsidR="00C375C6" w:rsidRPr="00C84B01">
              <w:rPr>
                <w:rFonts w:eastAsia="Calibri" w:cs="Arial"/>
                <w:b/>
                <w:szCs w:val="24"/>
              </w:rPr>
              <w:t>Urugua</w:t>
            </w:r>
            <w:r w:rsidR="00F25DB3">
              <w:rPr>
                <w:rFonts w:eastAsia="Calibri" w:cs="Arial"/>
                <w:b/>
                <w:szCs w:val="24"/>
              </w:rPr>
              <w:t>i</w:t>
            </w:r>
          </w:p>
          <w:p w14:paraId="1ACDC433" w14:textId="5DC4A9AB" w:rsidR="00763FA2" w:rsidRPr="00763FA2" w:rsidRDefault="006C3E18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Fernando Alvariño</w:t>
            </w:r>
          </w:p>
          <w:p w14:paraId="7ADA4A06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</w:tc>
      </w:tr>
    </w:tbl>
    <w:p w14:paraId="16C6C4EC" w14:textId="77777777" w:rsidR="00C375C6" w:rsidRPr="00763FA2" w:rsidRDefault="00C375C6" w:rsidP="0077517E">
      <w:pPr>
        <w:jc w:val="both"/>
      </w:pPr>
    </w:p>
    <w:sectPr w:rsidR="00C375C6" w:rsidRPr="00763FA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653F" w14:textId="77777777" w:rsidR="00FA4CE0" w:rsidRDefault="00FA4CE0" w:rsidP="00FA4CE0">
      <w:r>
        <w:separator/>
      </w:r>
    </w:p>
  </w:endnote>
  <w:endnote w:type="continuationSeparator" w:id="0">
    <w:p w14:paraId="578C96C0" w14:textId="77777777" w:rsidR="00FA4CE0" w:rsidRDefault="00FA4CE0" w:rsidP="00FA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285932"/>
      <w:docPartObj>
        <w:docPartGallery w:val="Page Numbers (Bottom of Page)"/>
        <w:docPartUnique/>
      </w:docPartObj>
    </w:sdtPr>
    <w:sdtEndPr/>
    <w:sdtContent>
      <w:p w14:paraId="38322A55" w14:textId="134DC8DA" w:rsidR="00FA4CE0" w:rsidRDefault="00FA4C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0F1BF2" w14:textId="77777777" w:rsidR="00FA4CE0" w:rsidRDefault="00FA4C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F4CD" w14:textId="77777777" w:rsidR="00FA4CE0" w:rsidRDefault="00FA4CE0" w:rsidP="00FA4CE0">
      <w:r>
        <w:separator/>
      </w:r>
    </w:p>
  </w:footnote>
  <w:footnote w:type="continuationSeparator" w:id="0">
    <w:p w14:paraId="46DD55B0" w14:textId="77777777" w:rsidR="00FA4CE0" w:rsidRDefault="00FA4CE0" w:rsidP="00FA4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74C"/>
    <w:multiLevelType w:val="hybridMultilevel"/>
    <w:tmpl w:val="2D349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6891"/>
    <w:multiLevelType w:val="hybridMultilevel"/>
    <w:tmpl w:val="87684108"/>
    <w:lvl w:ilvl="0" w:tplc="50B0E60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8EFE58">
      <w:numFmt w:val="bullet"/>
      <w:lvlText w:val="•"/>
      <w:lvlJc w:val="left"/>
      <w:pPr>
        <w:ind w:left="1473" w:hanging="360"/>
      </w:pPr>
      <w:rPr>
        <w:rFonts w:hint="default"/>
        <w:lang w:val="pt-PT" w:eastAsia="en-US" w:bidi="ar-SA"/>
      </w:rPr>
    </w:lvl>
    <w:lvl w:ilvl="2" w:tplc="FC5C1778"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3" w:tplc="B5D89D2C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4" w:tplc="0B9E2090">
      <w:numFmt w:val="bullet"/>
      <w:lvlText w:val="•"/>
      <w:lvlJc w:val="left"/>
      <w:pPr>
        <w:ind w:left="3434" w:hanging="360"/>
      </w:pPr>
      <w:rPr>
        <w:rFonts w:hint="default"/>
        <w:lang w:val="pt-PT" w:eastAsia="en-US" w:bidi="ar-SA"/>
      </w:rPr>
    </w:lvl>
    <w:lvl w:ilvl="5" w:tplc="AD788B00">
      <w:numFmt w:val="bullet"/>
      <w:lvlText w:val="•"/>
      <w:lvlJc w:val="left"/>
      <w:pPr>
        <w:ind w:left="4088" w:hanging="360"/>
      </w:pPr>
      <w:rPr>
        <w:rFonts w:hint="default"/>
        <w:lang w:val="pt-PT" w:eastAsia="en-US" w:bidi="ar-SA"/>
      </w:rPr>
    </w:lvl>
    <w:lvl w:ilvl="6" w:tplc="28D84B9A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7" w:tplc="BD88A568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8" w:tplc="3820922E">
      <w:numFmt w:val="bullet"/>
      <w:lvlText w:val="•"/>
      <w:lvlJc w:val="left"/>
      <w:pPr>
        <w:ind w:left="604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AD53F2B"/>
    <w:multiLevelType w:val="hybridMultilevel"/>
    <w:tmpl w:val="372CDBC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520C6"/>
    <w:multiLevelType w:val="hybridMultilevel"/>
    <w:tmpl w:val="021092DA"/>
    <w:lvl w:ilvl="0" w:tplc="47AE3C4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026256">
      <w:numFmt w:val="bullet"/>
      <w:lvlText w:val="•"/>
      <w:lvlJc w:val="left"/>
      <w:pPr>
        <w:ind w:left="1473" w:hanging="360"/>
      </w:pPr>
      <w:rPr>
        <w:rFonts w:hint="default"/>
        <w:lang w:val="pt-PT" w:eastAsia="en-US" w:bidi="ar-SA"/>
      </w:rPr>
    </w:lvl>
    <w:lvl w:ilvl="2" w:tplc="112E7536"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3" w:tplc="14AC4C82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4" w:tplc="895C12A8">
      <w:numFmt w:val="bullet"/>
      <w:lvlText w:val="•"/>
      <w:lvlJc w:val="left"/>
      <w:pPr>
        <w:ind w:left="3434" w:hanging="360"/>
      </w:pPr>
      <w:rPr>
        <w:rFonts w:hint="default"/>
        <w:lang w:val="pt-PT" w:eastAsia="en-US" w:bidi="ar-SA"/>
      </w:rPr>
    </w:lvl>
    <w:lvl w:ilvl="5" w:tplc="3E3CDF0A">
      <w:numFmt w:val="bullet"/>
      <w:lvlText w:val="•"/>
      <w:lvlJc w:val="left"/>
      <w:pPr>
        <w:ind w:left="4088" w:hanging="360"/>
      </w:pPr>
      <w:rPr>
        <w:rFonts w:hint="default"/>
        <w:lang w:val="pt-PT" w:eastAsia="en-US" w:bidi="ar-SA"/>
      </w:rPr>
    </w:lvl>
    <w:lvl w:ilvl="6" w:tplc="3CAE3312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7" w:tplc="B184C316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8" w:tplc="DB2229D2">
      <w:numFmt w:val="bullet"/>
      <w:lvlText w:val="•"/>
      <w:lvlJc w:val="left"/>
      <w:pPr>
        <w:ind w:left="604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E604BBA"/>
    <w:multiLevelType w:val="hybridMultilevel"/>
    <w:tmpl w:val="A9B03FF8"/>
    <w:lvl w:ilvl="0" w:tplc="A13CED8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6ACC02">
      <w:numFmt w:val="bullet"/>
      <w:lvlText w:val="•"/>
      <w:lvlJc w:val="left"/>
      <w:pPr>
        <w:ind w:left="1473" w:hanging="360"/>
      </w:pPr>
      <w:rPr>
        <w:rFonts w:hint="default"/>
        <w:lang w:val="pt-PT" w:eastAsia="en-US" w:bidi="ar-SA"/>
      </w:rPr>
    </w:lvl>
    <w:lvl w:ilvl="2" w:tplc="E172586C"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3" w:tplc="A0B4B866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4" w:tplc="B6AEE7B8">
      <w:numFmt w:val="bullet"/>
      <w:lvlText w:val="•"/>
      <w:lvlJc w:val="left"/>
      <w:pPr>
        <w:ind w:left="3434" w:hanging="360"/>
      </w:pPr>
      <w:rPr>
        <w:rFonts w:hint="default"/>
        <w:lang w:val="pt-PT" w:eastAsia="en-US" w:bidi="ar-SA"/>
      </w:rPr>
    </w:lvl>
    <w:lvl w:ilvl="5" w:tplc="FF167898">
      <w:numFmt w:val="bullet"/>
      <w:lvlText w:val="•"/>
      <w:lvlJc w:val="left"/>
      <w:pPr>
        <w:ind w:left="4088" w:hanging="360"/>
      </w:pPr>
      <w:rPr>
        <w:rFonts w:hint="default"/>
        <w:lang w:val="pt-PT" w:eastAsia="en-US" w:bidi="ar-SA"/>
      </w:rPr>
    </w:lvl>
    <w:lvl w:ilvl="6" w:tplc="D76E1506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7" w:tplc="D9CAACD2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8" w:tplc="6DCEE258">
      <w:numFmt w:val="bullet"/>
      <w:lvlText w:val="•"/>
      <w:lvlJc w:val="left"/>
      <w:pPr>
        <w:ind w:left="604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0AC0564"/>
    <w:multiLevelType w:val="hybridMultilevel"/>
    <w:tmpl w:val="DE62D5FE"/>
    <w:lvl w:ilvl="0" w:tplc="2852190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8922C4C">
      <w:numFmt w:val="bullet"/>
      <w:lvlText w:val="•"/>
      <w:lvlJc w:val="left"/>
      <w:pPr>
        <w:ind w:left="1473" w:hanging="360"/>
      </w:pPr>
      <w:rPr>
        <w:rFonts w:hint="default"/>
        <w:lang w:val="pt-PT" w:eastAsia="en-US" w:bidi="ar-SA"/>
      </w:rPr>
    </w:lvl>
    <w:lvl w:ilvl="2" w:tplc="DFD0C6F4"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3" w:tplc="3804473C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4" w:tplc="4BAEB64E">
      <w:numFmt w:val="bullet"/>
      <w:lvlText w:val="•"/>
      <w:lvlJc w:val="left"/>
      <w:pPr>
        <w:ind w:left="3434" w:hanging="360"/>
      </w:pPr>
      <w:rPr>
        <w:rFonts w:hint="default"/>
        <w:lang w:val="pt-PT" w:eastAsia="en-US" w:bidi="ar-SA"/>
      </w:rPr>
    </w:lvl>
    <w:lvl w:ilvl="5" w:tplc="640A4EFE">
      <w:numFmt w:val="bullet"/>
      <w:lvlText w:val="•"/>
      <w:lvlJc w:val="left"/>
      <w:pPr>
        <w:ind w:left="4088" w:hanging="360"/>
      </w:pPr>
      <w:rPr>
        <w:rFonts w:hint="default"/>
        <w:lang w:val="pt-PT" w:eastAsia="en-US" w:bidi="ar-SA"/>
      </w:rPr>
    </w:lvl>
    <w:lvl w:ilvl="6" w:tplc="C694924E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7" w:tplc="1D70AB8C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8" w:tplc="A274E56E">
      <w:numFmt w:val="bullet"/>
      <w:lvlText w:val="•"/>
      <w:lvlJc w:val="left"/>
      <w:pPr>
        <w:ind w:left="604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4C23D7C"/>
    <w:multiLevelType w:val="hybridMultilevel"/>
    <w:tmpl w:val="18641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C6B30"/>
    <w:multiLevelType w:val="hybridMultilevel"/>
    <w:tmpl w:val="E6746E58"/>
    <w:lvl w:ilvl="0" w:tplc="9CE0BB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D5F42"/>
    <w:multiLevelType w:val="hybridMultilevel"/>
    <w:tmpl w:val="743A2E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68592D"/>
    <w:multiLevelType w:val="hybridMultilevel"/>
    <w:tmpl w:val="E46EE1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546997">
    <w:abstractNumId w:val="7"/>
  </w:num>
  <w:num w:numId="2" w16cid:durableId="935794225">
    <w:abstractNumId w:val="2"/>
  </w:num>
  <w:num w:numId="3" w16cid:durableId="699016756">
    <w:abstractNumId w:val="4"/>
  </w:num>
  <w:num w:numId="4" w16cid:durableId="653950851">
    <w:abstractNumId w:val="3"/>
  </w:num>
  <w:num w:numId="5" w16cid:durableId="44916760">
    <w:abstractNumId w:val="5"/>
  </w:num>
  <w:num w:numId="6" w16cid:durableId="1908876984">
    <w:abstractNumId w:val="0"/>
  </w:num>
  <w:num w:numId="7" w16cid:durableId="192501811">
    <w:abstractNumId w:val="8"/>
  </w:num>
  <w:num w:numId="8" w16cid:durableId="1312832757">
    <w:abstractNumId w:val="1"/>
  </w:num>
  <w:num w:numId="9" w16cid:durableId="969091783">
    <w:abstractNumId w:val="6"/>
  </w:num>
  <w:num w:numId="10" w16cid:durableId="1610315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5F"/>
    <w:rsid w:val="000021D5"/>
    <w:rsid w:val="0000314F"/>
    <w:rsid w:val="0000402A"/>
    <w:rsid w:val="00016CD7"/>
    <w:rsid w:val="000343B9"/>
    <w:rsid w:val="00043EDD"/>
    <w:rsid w:val="00046658"/>
    <w:rsid w:val="00053AD9"/>
    <w:rsid w:val="000605E1"/>
    <w:rsid w:val="00075CA4"/>
    <w:rsid w:val="00080D78"/>
    <w:rsid w:val="00086219"/>
    <w:rsid w:val="00093C53"/>
    <w:rsid w:val="00094ADC"/>
    <w:rsid w:val="000A3C39"/>
    <w:rsid w:val="000B0590"/>
    <w:rsid w:val="000B44AD"/>
    <w:rsid w:val="000B4A65"/>
    <w:rsid w:val="000C1156"/>
    <w:rsid w:val="000D09D0"/>
    <w:rsid w:val="000D1B95"/>
    <w:rsid w:val="000D5B61"/>
    <w:rsid w:val="000D7AA9"/>
    <w:rsid w:val="00103386"/>
    <w:rsid w:val="001046A9"/>
    <w:rsid w:val="001136FA"/>
    <w:rsid w:val="0012006B"/>
    <w:rsid w:val="00134907"/>
    <w:rsid w:val="00146A6D"/>
    <w:rsid w:val="00147577"/>
    <w:rsid w:val="00153407"/>
    <w:rsid w:val="001543FE"/>
    <w:rsid w:val="00162CCC"/>
    <w:rsid w:val="00164C5D"/>
    <w:rsid w:val="00167982"/>
    <w:rsid w:val="00170C09"/>
    <w:rsid w:val="00180A10"/>
    <w:rsid w:val="001816BD"/>
    <w:rsid w:val="001834DC"/>
    <w:rsid w:val="001872FD"/>
    <w:rsid w:val="001938D5"/>
    <w:rsid w:val="00196DBF"/>
    <w:rsid w:val="00197450"/>
    <w:rsid w:val="00197DF6"/>
    <w:rsid w:val="001B3F25"/>
    <w:rsid w:val="001D46AD"/>
    <w:rsid w:val="001D4A58"/>
    <w:rsid w:val="001E7A04"/>
    <w:rsid w:val="001F0DE8"/>
    <w:rsid w:val="001F0FB4"/>
    <w:rsid w:val="00204D6A"/>
    <w:rsid w:val="00220F5F"/>
    <w:rsid w:val="00237792"/>
    <w:rsid w:val="002418E7"/>
    <w:rsid w:val="00244AF4"/>
    <w:rsid w:val="00256CC5"/>
    <w:rsid w:val="002842E2"/>
    <w:rsid w:val="00285814"/>
    <w:rsid w:val="002B6A7B"/>
    <w:rsid w:val="002C1CEA"/>
    <w:rsid w:val="002E140F"/>
    <w:rsid w:val="002E6D4C"/>
    <w:rsid w:val="002F079B"/>
    <w:rsid w:val="002F2C3F"/>
    <w:rsid w:val="00305795"/>
    <w:rsid w:val="00312231"/>
    <w:rsid w:val="003154F3"/>
    <w:rsid w:val="00321E87"/>
    <w:rsid w:val="003228DB"/>
    <w:rsid w:val="00325BC4"/>
    <w:rsid w:val="00337D3B"/>
    <w:rsid w:val="00344ED8"/>
    <w:rsid w:val="0034595F"/>
    <w:rsid w:val="00356B95"/>
    <w:rsid w:val="00365D20"/>
    <w:rsid w:val="00376E8C"/>
    <w:rsid w:val="00381AD5"/>
    <w:rsid w:val="00383C7F"/>
    <w:rsid w:val="00384991"/>
    <w:rsid w:val="00390D2C"/>
    <w:rsid w:val="0039548B"/>
    <w:rsid w:val="003B62C8"/>
    <w:rsid w:val="003C1B2E"/>
    <w:rsid w:val="003C27FB"/>
    <w:rsid w:val="003D5A10"/>
    <w:rsid w:val="003E70F1"/>
    <w:rsid w:val="003F21FC"/>
    <w:rsid w:val="004016B0"/>
    <w:rsid w:val="00407DE6"/>
    <w:rsid w:val="0041288E"/>
    <w:rsid w:val="004136A3"/>
    <w:rsid w:val="00430EC6"/>
    <w:rsid w:val="00431A87"/>
    <w:rsid w:val="00435029"/>
    <w:rsid w:val="0044748F"/>
    <w:rsid w:val="0045151B"/>
    <w:rsid w:val="00455750"/>
    <w:rsid w:val="00470097"/>
    <w:rsid w:val="0048330C"/>
    <w:rsid w:val="00491D06"/>
    <w:rsid w:val="004A3888"/>
    <w:rsid w:val="004A5747"/>
    <w:rsid w:val="004C65EA"/>
    <w:rsid w:val="004F12D0"/>
    <w:rsid w:val="004F4931"/>
    <w:rsid w:val="00507E14"/>
    <w:rsid w:val="00513B6C"/>
    <w:rsid w:val="00533ECC"/>
    <w:rsid w:val="005363CF"/>
    <w:rsid w:val="005425CE"/>
    <w:rsid w:val="005511C9"/>
    <w:rsid w:val="005530E5"/>
    <w:rsid w:val="00572074"/>
    <w:rsid w:val="00573FE7"/>
    <w:rsid w:val="0059159B"/>
    <w:rsid w:val="0059725D"/>
    <w:rsid w:val="00597ED1"/>
    <w:rsid w:val="005A620C"/>
    <w:rsid w:val="005B125A"/>
    <w:rsid w:val="005B1373"/>
    <w:rsid w:val="005B2EA0"/>
    <w:rsid w:val="005C3969"/>
    <w:rsid w:val="005C5836"/>
    <w:rsid w:val="005C7F16"/>
    <w:rsid w:val="005D0545"/>
    <w:rsid w:val="005D05BA"/>
    <w:rsid w:val="005D3CBC"/>
    <w:rsid w:val="005F67B8"/>
    <w:rsid w:val="00612A1F"/>
    <w:rsid w:val="00614C9A"/>
    <w:rsid w:val="006172C2"/>
    <w:rsid w:val="006220AF"/>
    <w:rsid w:val="00625FCB"/>
    <w:rsid w:val="00641432"/>
    <w:rsid w:val="006424D3"/>
    <w:rsid w:val="00671DD1"/>
    <w:rsid w:val="00675C3B"/>
    <w:rsid w:val="00694724"/>
    <w:rsid w:val="00696B93"/>
    <w:rsid w:val="006A1916"/>
    <w:rsid w:val="006A29E1"/>
    <w:rsid w:val="006B1467"/>
    <w:rsid w:val="006B58DA"/>
    <w:rsid w:val="006B5CBB"/>
    <w:rsid w:val="006B677D"/>
    <w:rsid w:val="006B7F99"/>
    <w:rsid w:val="006C3E18"/>
    <w:rsid w:val="006E70E9"/>
    <w:rsid w:val="007007EC"/>
    <w:rsid w:val="00704BAF"/>
    <w:rsid w:val="00705885"/>
    <w:rsid w:val="00716A1B"/>
    <w:rsid w:val="007174FE"/>
    <w:rsid w:val="00720E24"/>
    <w:rsid w:val="00723BCE"/>
    <w:rsid w:val="0074156B"/>
    <w:rsid w:val="0074406B"/>
    <w:rsid w:val="00751C54"/>
    <w:rsid w:val="00763FA2"/>
    <w:rsid w:val="00764158"/>
    <w:rsid w:val="007705D7"/>
    <w:rsid w:val="0077517E"/>
    <w:rsid w:val="00797BF1"/>
    <w:rsid w:val="007C0874"/>
    <w:rsid w:val="007C2082"/>
    <w:rsid w:val="007C6F29"/>
    <w:rsid w:val="007D1434"/>
    <w:rsid w:val="007E4675"/>
    <w:rsid w:val="007E483C"/>
    <w:rsid w:val="007F6709"/>
    <w:rsid w:val="00806456"/>
    <w:rsid w:val="0081694B"/>
    <w:rsid w:val="00821819"/>
    <w:rsid w:val="008420BE"/>
    <w:rsid w:val="00845A62"/>
    <w:rsid w:val="0087514A"/>
    <w:rsid w:val="00876982"/>
    <w:rsid w:val="00894AA3"/>
    <w:rsid w:val="00895070"/>
    <w:rsid w:val="008B0DF2"/>
    <w:rsid w:val="008B46ED"/>
    <w:rsid w:val="008C2BA7"/>
    <w:rsid w:val="008C60C2"/>
    <w:rsid w:val="008C7730"/>
    <w:rsid w:val="008C7F67"/>
    <w:rsid w:val="008F4A0E"/>
    <w:rsid w:val="008F50E3"/>
    <w:rsid w:val="009116FA"/>
    <w:rsid w:val="00912A46"/>
    <w:rsid w:val="00920F26"/>
    <w:rsid w:val="00921CD8"/>
    <w:rsid w:val="00934920"/>
    <w:rsid w:val="009366E6"/>
    <w:rsid w:val="009374CA"/>
    <w:rsid w:val="009664C4"/>
    <w:rsid w:val="00966ADE"/>
    <w:rsid w:val="00975C38"/>
    <w:rsid w:val="00976256"/>
    <w:rsid w:val="00981D4F"/>
    <w:rsid w:val="00997C11"/>
    <w:rsid w:val="009B080F"/>
    <w:rsid w:val="009B544F"/>
    <w:rsid w:val="009C08B6"/>
    <w:rsid w:val="009C0EA1"/>
    <w:rsid w:val="009C6186"/>
    <w:rsid w:val="009D4A0B"/>
    <w:rsid w:val="009E294B"/>
    <w:rsid w:val="00A11425"/>
    <w:rsid w:val="00A119F7"/>
    <w:rsid w:val="00A15CF9"/>
    <w:rsid w:val="00A2612A"/>
    <w:rsid w:val="00A268E7"/>
    <w:rsid w:val="00A34229"/>
    <w:rsid w:val="00A3539D"/>
    <w:rsid w:val="00A37466"/>
    <w:rsid w:val="00A37B4B"/>
    <w:rsid w:val="00A448C5"/>
    <w:rsid w:val="00A63E1F"/>
    <w:rsid w:val="00A70EF1"/>
    <w:rsid w:val="00A73D85"/>
    <w:rsid w:val="00A7727D"/>
    <w:rsid w:val="00A853A6"/>
    <w:rsid w:val="00A91B77"/>
    <w:rsid w:val="00A92B61"/>
    <w:rsid w:val="00AB6009"/>
    <w:rsid w:val="00AB69FB"/>
    <w:rsid w:val="00AC36F1"/>
    <w:rsid w:val="00AC375E"/>
    <w:rsid w:val="00AE71A1"/>
    <w:rsid w:val="00AF6F40"/>
    <w:rsid w:val="00B01001"/>
    <w:rsid w:val="00B060CF"/>
    <w:rsid w:val="00B0649E"/>
    <w:rsid w:val="00B1014D"/>
    <w:rsid w:val="00B20996"/>
    <w:rsid w:val="00B2537C"/>
    <w:rsid w:val="00B31DB0"/>
    <w:rsid w:val="00B53548"/>
    <w:rsid w:val="00B55384"/>
    <w:rsid w:val="00B55F03"/>
    <w:rsid w:val="00B70C89"/>
    <w:rsid w:val="00B77F06"/>
    <w:rsid w:val="00B87DA2"/>
    <w:rsid w:val="00B92A22"/>
    <w:rsid w:val="00BC3CDE"/>
    <w:rsid w:val="00BC567D"/>
    <w:rsid w:val="00BD5B1A"/>
    <w:rsid w:val="00BE0701"/>
    <w:rsid w:val="00BF3733"/>
    <w:rsid w:val="00BF3B4F"/>
    <w:rsid w:val="00BF7970"/>
    <w:rsid w:val="00C12725"/>
    <w:rsid w:val="00C2257F"/>
    <w:rsid w:val="00C30810"/>
    <w:rsid w:val="00C375C6"/>
    <w:rsid w:val="00C409B6"/>
    <w:rsid w:val="00C42C3A"/>
    <w:rsid w:val="00C43CAF"/>
    <w:rsid w:val="00C44DA0"/>
    <w:rsid w:val="00C52D91"/>
    <w:rsid w:val="00C62C41"/>
    <w:rsid w:val="00C738E5"/>
    <w:rsid w:val="00C74D0D"/>
    <w:rsid w:val="00C84B01"/>
    <w:rsid w:val="00C9235B"/>
    <w:rsid w:val="00C974F8"/>
    <w:rsid w:val="00CA0189"/>
    <w:rsid w:val="00CA173E"/>
    <w:rsid w:val="00CA4F03"/>
    <w:rsid w:val="00CB0074"/>
    <w:rsid w:val="00CD37E8"/>
    <w:rsid w:val="00CD6E53"/>
    <w:rsid w:val="00CE3BB0"/>
    <w:rsid w:val="00CF1F56"/>
    <w:rsid w:val="00CF5733"/>
    <w:rsid w:val="00D02FC7"/>
    <w:rsid w:val="00D03B6C"/>
    <w:rsid w:val="00D06AAF"/>
    <w:rsid w:val="00D223B6"/>
    <w:rsid w:val="00D2527D"/>
    <w:rsid w:val="00D26B4D"/>
    <w:rsid w:val="00D30C81"/>
    <w:rsid w:val="00D43FF9"/>
    <w:rsid w:val="00D518D1"/>
    <w:rsid w:val="00D56D2D"/>
    <w:rsid w:val="00D665E0"/>
    <w:rsid w:val="00D768A7"/>
    <w:rsid w:val="00D802F5"/>
    <w:rsid w:val="00D82890"/>
    <w:rsid w:val="00D91ED8"/>
    <w:rsid w:val="00D9210A"/>
    <w:rsid w:val="00D9297A"/>
    <w:rsid w:val="00DA14B0"/>
    <w:rsid w:val="00DA48A6"/>
    <w:rsid w:val="00DB69D8"/>
    <w:rsid w:val="00DC2A5B"/>
    <w:rsid w:val="00DD5052"/>
    <w:rsid w:val="00DE3541"/>
    <w:rsid w:val="00DE5946"/>
    <w:rsid w:val="00DE6C91"/>
    <w:rsid w:val="00DF0F6C"/>
    <w:rsid w:val="00DF2F63"/>
    <w:rsid w:val="00E0506A"/>
    <w:rsid w:val="00E06948"/>
    <w:rsid w:val="00E1190A"/>
    <w:rsid w:val="00E24226"/>
    <w:rsid w:val="00E31CF1"/>
    <w:rsid w:val="00E40CB8"/>
    <w:rsid w:val="00E50445"/>
    <w:rsid w:val="00E54E5A"/>
    <w:rsid w:val="00E56B77"/>
    <w:rsid w:val="00E71125"/>
    <w:rsid w:val="00E72808"/>
    <w:rsid w:val="00E748AF"/>
    <w:rsid w:val="00E76DB7"/>
    <w:rsid w:val="00E82B99"/>
    <w:rsid w:val="00E9155B"/>
    <w:rsid w:val="00E922BF"/>
    <w:rsid w:val="00E9520C"/>
    <w:rsid w:val="00EA140C"/>
    <w:rsid w:val="00EB0C5A"/>
    <w:rsid w:val="00EC4FA4"/>
    <w:rsid w:val="00ED0459"/>
    <w:rsid w:val="00ED2839"/>
    <w:rsid w:val="00ED32FC"/>
    <w:rsid w:val="00ED4936"/>
    <w:rsid w:val="00EF3C82"/>
    <w:rsid w:val="00EF424C"/>
    <w:rsid w:val="00EF6C58"/>
    <w:rsid w:val="00F011F9"/>
    <w:rsid w:val="00F045D8"/>
    <w:rsid w:val="00F07EBA"/>
    <w:rsid w:val="00F12B86"/>
    <w:rsid w:val="00F20B26"/>
    <w:rsid w:val="00F25DB3"/>
    <w:rsid w:val="00F5305E"/>
    <w:rsid w:val="00F663A3"/>
    <w:rsid w:val="00F66D04"/>
    <w:rsid w:val="00F740B3"/>
    <w:rsid w:val="00F7618D"/>
    <w:rsid w:val="00F82B96"/>
    <w:rsid w:val="00F91B47"/>
    <w:rsid w:val="00F93E95"/>
    <w:rsid w:val="00FA4CE0"/>
    <w:rsid w:val="00FA528D"/>
    <w:rsid w:val="00FB49FC"/>
    <w:rsid w:val="00FB545F"/>
    <w:rsid w:val="00FC20C6"/>
    <w:rsid w:val="00FC786D"/>
    <w:rsid w:val="00FD08AB"/>
    <w:rsid w:val="00FE02FC"/>
    <w:rsid w:val="00FE259A"/>
    <w:rsid w:val="00FE74E0"/>
    <w:rsid w:val="00FF06BA"/>
    <w:rsid w:val="00FF06D5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6974"/>
  <w15:chartTrackingRefBased/>
  <w15:docId w15:val="{1F16EF4F-088E-4611-AA3D-B316303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31"/>
    <w:pPr>
      <w:spacing w:after="0" w:line="240" w:lineRule="auto"/>
    </w:pPr>
    <w:rPr>
      <w:rFonts w:ascii="Arial" w:eastAsia="Times New Roman" w:hAnsi="Arial" w:cs="Times New Roman"/>
      <w:kern w:val="0"/>
      <w:szCs w:val="20"/>
      <w:lang w:val="pt-BR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0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0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0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0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0F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0F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0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0F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0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0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0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0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0F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0F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0F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0F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0F5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2006B"/>
    <w:pPr>
      <w:widowControl w:val="0"/>
      <w:autoSpaceDE w:val="0"/>
      <w:autoSpaceDN w:val="0"/>
      <w:spacing w:line="274" w:lineRule="exact"/>
      <w:ind w:left="105"/>
    </w:pPr>
    <w:rPr>
      <w:rFonts w:eastAsia="Arial" w:cs="Arial"/>
      <w:sz w:val="22"/>
      <w:szCs w:val="22"/>
      <w:lang w:val="pt-PT"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D7AA9"/>
    <w:rPr>
      <w:rFonts w:ascii="Consolas" w:hAnsi="Consola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D7AA9"/>
    <w:rPr>
      <w:rFonts w:ascii="Consolas" w:eastAsia="Times New Roman" w:hAnsi="Consolas" w:cs="Times New Roman"/>
      <w:kern w:val="0"/>
      <w:sz w:val="20"/>
      <w:szCs w:val="20"/>
      <w:lang w:val="pt-BR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2C3F"/>
    <w:pPr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paragraph" w:styleId="Piedepgina">
    <w:name w:val="footer"/>
    <w:basedOn w:val="Normal"/>
    <w:link w:val="PiedepginaCar"/>
    <w:uiPriority w:val="99"/>
    <w:unhideWhenUsed/>
    <w:rsid w:val="006A19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916"/>
    <w:rPr>
      <w:rFonts w:ascii="Arial" w:eastAsia="Times New Roman" w:hAnsi="Arial" w:cs="Times New Roman"/>
      <w:kern w:val="0"/>
      <w:szCs w:val="20"/>
      <w:lang w:val="pt-BR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A4C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CE0"/>
    <w:rPr>
      <w:rFonts w:ascii="Arial" w:eastAsia="Times New Roman" w:hAnsi="Arial" w:cs="Times New Roman"/>
      <w:kern w:val="0"/>
      <w:szCs w:val="20"/>
      <w:lang w:val="pt-BR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8</Pages>
  <Words>2811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344</cp:revision>
  <dcterms:created xsi:type="dcterms:W3CDTF">2025-09-15T14:59:00Z</dcterms:created>
  <dcterms:modified xsi:type="dcterms:W3CDTF">2025-09-17T18:38:00Z</dcterms:modified>
</cp:coreProperties>
</file>