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487EE" w14:textId="3FDCB24F" w:rsidR="00B35E78" w:rsidRDefault="00B35E78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  <w:r w:rsidRPr="00AA6E8B">
        <w:rPr>
          <w:noProof/>
        </w:rPr>
        <w:drawing>
          <wp:anchor distT="0" distB="0" distL="114300" distR="114300" simplePos="0" relativeHeight="251659264" behindDoc="0" locked="0" layoutInCell="1" allowOverlap="1" wp14:anchorId="2DE0CD3C" wp14:editId="5348036A">
            <wp:simplePos x="0" y="0"/>
            <wp:positionH relativeFrom="column">
              <wp:posOffset>4152900</wp:posOffset>
            </wp:positionH>
            <wp:positionV relativeFrom="paragraph">
              <wp:posOffset>19050</wp:posOffset>
            </wp:positionV>
            <wp:extent cx="1200150" cy="762000"/>
            <wp:effectExtent l="0" t="0" r="0" b="0"/>
            <wp:wrapSquare wrapText="bothSides"/>
            <wp:docPr id="13" name="image1.png" descr="Logotipo&#10;&#10;El contenido generado por IA puede ser incorrec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png" descr="Logotipo&#10;&#10;El contenido generado por IA puede ser incorrecto.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A6E8B">
        <w:rPr>
          <w:noProof/>
        </w:rPr>
        <w:drawing>
          <wp:inline distT="0" distB="0" distL="0" distR="0" wp14:anchorId="0745547A" wp14:editId="09C67AEE">
            <wp:extent cx="1143635" cy="725805"/>
            <wp:effectExtent l="0" t="0" r="0" b="0"/>
            <wp:docPr id="14" name="image2.png" descr="Imagen que contiene Gráfico&#10;&#10;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 descr="Imagen que contiene Gráfico&#10;&#10;Descripción generada automá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7258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 xml:space="preserve">             </w:t>
      </w:r>
    </w:p>
    <w:p w14:paraId="1DD91EE3" w14:textId="77777777" w:rsidR="00B35E78" w:rsidRDefault="00B35E78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</w:pPr>
    </w:p>
    <w:p w14:paraId="49EA33E3" w14:textId="01EF0E73" w:rsidR="004F4931" w:rsidRPr="00C84B01" w:rsidRDefault="004F4931" w:rsidP="004F4931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" w:cs="Arial"/>
          <w:b/>
          <w:bCs/>
          <w:color w:val="000000"/>
          <w:szCs w:val="24"/>
          <w:u w:color="000000"/>
          <w:bdr w:val="nil"/>
          <w:lang w:eastAsia="ko-KR"/>
        </w:rPr>
      </w:pPr>
      <w:r w:rsidRPr="00050E07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MERCOSUL/</w:t>
      </w:r>
      <w:r w:rsidR="009771ED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RMS/</w:t>
      </w:r>
      <w:r w:rsidRPr="00050E07">
        <w:rPr>
          <w:rFonts w:eastAsia="Calibri" w:cs="Arial"/>
          <w:b/>
          <w:szCs w:val="24"/>
          <w:u w:color="000000"/>
          <w:bdr w:val="nil"/>
          <w:lang w:eastAsia="ko-KR"/>
        </w:rPr>
        <w:t>CI</w:t>
      </w:r>
      <w:r w:rsidR="00050E07" w:rsidRPr="00050E07">
        <w:rPr>
          <w:rFonts w:eastAsia="Calibri" w:cs="Arial"/>
          <w:b/>
          <w:szCs w:val="24"/>
          <w:u w:color="000000"/>
          <w:bdr w:val="nil"/>
          <w:lang w:eastAsia="ko-KR"/>
        </w:rPr>
        <w:t>PM</w:t>
      </w:r>
      <w:r w:rsidRPr="00050E07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 xml:space="preserve">/ATA Nº </w:t>
      </w:r>
      <w:r w:rsidRPr="00050E07">
        <w:rPr>
          <w:rFonts w:eastAsia="Calibri" w:cs="Arial"/>
          <w:b/>
          <w:szCs w:val="24"/>
          <w:u w:color="000000"/>
          <w:bdr w:val="nil"/>
          <w:lang w:eastAsia="ko-KR"/>
        </w:rPr>
        <w:t>02</w:t>
      </w:r>
      <w:r w:rsidRPr="00050E07">
        <w:rPr>
          <w:rFonts w:eastAsia="Calibri" w:cs="Arial"/>
          <w:b/>
          <w:color w:val="000000"/>
          <w:szCs w:val="24"/>
          <w:u w:color="000000"/>
          <w:bdr w:val="nil"/>
          <w:lang w:eastAsia="ko-KR"/>
        </w:rPr>
        <w:t>/25</w:t>
      </w:r>
    </w:p>
    <w:p w14:paraId="3D0FE081" w14:textId="77777777" w:rsidR="004F4931" w:rsidRPr="00C84B01" w:rsidRDefault="004F4931" w:rsidP="004F4931">
      <w:pPr>
        <w:rPr>
          <w:rFonts w:cs="Arial"/>
          <w:b/>
          <w:szCs w:val="24"/>
        </w:rPr>
      </w:pPr>
    </w:p>
    <w:p w14:paraId="075257C1" w14:textId="1AAA70E3" w:rsidR="004F4931" w:rsidRPr="00050E07" w:rsidRDefault="004F4931" w:rsidP="23DF47AD">
      <w:pPr>
        <w:jc w:val="center"/>
        <w:rPr>
          <w:rFonts w:eastAsia="Arial" w:cs="Arial"/>
          <w:b/>
          <w:bCs/>
          <w:lang w:eastAsia="es-UY"/>
        </w:rPr>
      </w:pPr>
      <w:r w:rsidRPr="23DF47AD">
        <w:rPr>
          <w:rFonts w:eastAsia="Arial" w:cs="Arial"/>
          <w:b/>
          <w:bCs/>
          <w:lang w:eastAsia="es-UY"/>
        </w:rPr>
        <w:t xml:space="preserve">REUNIÃO ORDINÁRIA DA COMISSÃO INTERGOVERNAMENTAL </w:t>
      </w:r>
      <w:r w:rsidR="00050E07" w:rsidRPr="23DF47AD">
        <w:rPr>
          <w:rFonts w:eastAsia="Arial" w:cs="Arial"/>
          <w:b/>
          <w:bCs/>
          <w:lang w:eastAsia="es-UY"/>
        </w:rPr>
        <w:t xml:space="preserve">DE </w:t>
      </w:r>
      <w:r w:rsidR="1821026E" w:rsidRPr="23DF47AD">
        <w:rPr>
          <w:rFonts w:eastAsia="Arial" w:cs="Arial"/>
          <w:b/>
          <w:bCs/>
          <w:lang w:eastAsia="es-UY"/>
        </w:rPr>
        <w:t>POLÍTICA</w:t>
      </w:r>
      <w:r w:rsidR="00050E07" w:rsidRPr="23DF47AD">
        <w:rPr>
          <w:rFonts w:eastAsia="Arial" w:cs="Arial"/>
          <w:b/>
          <w:bCs/>
          <w:lang w:eastAsia="es-UY"/>
        </w:rPr>
        <w:t xml:space="preserve"> DE MEDICAMENTOS </w:t>
      </w:r>
      <w:r w:rsidRPr="23DF47AD">
        <w:rPr>
          <w:rFonts w:eastAsia="Arial" w:cs="Arial"/>
          <w:b/>
          <w:bCs/>
          <w:lang w:eastAsia="es-UY"/>
        </w:rPr>
        <w:t>(CI</w:t>
      </w:r>
      <w:r w:rsidR="453E0853" w:rsidRPr="23DF47AD">
        <w:rPr>
          <w:rFonts w:eastAsia="Arial" w:cs="Arial"/>
          <w:b/>
          <w:bCs/>
          <w:lang w:eastAsia="es-UY"/>
        </w:rPr>
        <w:t>PM</w:t>
      </w:r>
      <w:r w:rsidRPr="23DF47AD">
        <w:rPr>
          <w:rFonts w:eastAsia="Arial" w:cs="Arial"/>
          <w:b/>
          <w:bCs/>
          <w:lang w:eastAsia="es-UY"/>
        </w:rPr>
        <w:t xml:space="preserve">) PREPARATÓRIA DA LVII REUNIÃO DE MINISTROS DA SAÚDE </w:t>
      </w:r>
    </w:p>
    <w:p w14:paraId="1D421080" w14:textId="77777777" w:rsidR="004F4931" w:rsidRPr="00050E07" w:rsidRDefault="004F4931" w:rsidP="004F4931">
      <w:pPr>
        <w:rPr>
          <w:rFonts w:cs="Arial"/>
          <w:b/>
          <w:szCs w:val="24"/>
        </w:rPr>
      </w:pPr>
    </w:p>
    <w:p w14:paraId="62C9D3BC" w14:textId="17D5D062" w:rsidR="004F4931" w:rsidRPr="008162CB" w:rsidRDefault="7FD28433" w:rsidP="23DF47AD">
      <w:pPr>
        <w:jc w:val="both"/>
        <w:rPr>
          <w:rFonts w:cs="Arial"/>
          <w:b/>
          <w:bCs/>
          <w:szCs w:val="24"/>
        </w:rPr>
      </w:pPr>
      <w:r w:rsidRPr="008162CB">
        <w:rPr>
          <w:rFonts w:eastAsia="Arial" w:cs="Arial"/>
          <w:szCs w:val="24"/>
          <w:lang w:eastAsia="es-UY"/>
        </w:rPr>
        <w:t xml:space="preserve">Realizou-se, na cidade de Brasília, República Federativa do Brasil, entre os dias 15 a 17 de setembro de 2025, a </w:t>
      </w:r>
      <w:r w:rsidRPr="008162CB">
        <w:rPr>
          <w:rFonts w:cs="Arial"/>
          <w:szCs w:val="24"/>
        </w:rPr>
        <w:t xml:space="preserve">Reunião </w:t>
      </w:r>
      <w:r w:rsidRPr="008162CB">
        <w:rPr>
          <w:rFonts w:eastAsia="Arial" w:cs="Arial"/>
          <w:color w:val="000000" w:themeColor="text1"/>
          <w:szCs w:val="24"/>
          <w:lang w:eastAsia="es-UY"/>
        </w:rPr>
        <w:t xml:space="preserve">Ordinária </w:t>
      </w:r>
      <w:r w:rsidRPr="008162CB">
        <w:rPr>
          <w:rFonts w:cs="Arial"/>
          <w:szCs w:val="24"/>
        </w:rPr>
        <w:t xml:space="preserve">da </w:t>
      </w:r>
      <w:r w:rsidRPr="008162CB">
        <w:rPr>
          <w:rFonts w:eastAsia="Arial" w:cs="Arial"/>
          <w:szCs w:val="24"/>
          <w:lang w:eastAsia="es-UY"/>
        </w:rPr>
        <w:t>Comissão Intergovernamental de Política de Medicamentos (CIPM)</w:t>
      </w:r>
      <w:r w:rsidRPr="008162CB">
        <w:rPr>
          <w:rFonts w:cs="Arial"/>
          <w:szCs w:val="24"/>
        </w:rPr>
        <w:t>,</w:t>
      </w:r>
      <w:r w:rsidRPr="008162CB">
        <w:rPr>
          <w:rFonts w:eastAsia="Arial" w:cs="Arial"/>
          <w:szCs w:val="24"/>
          <w:lang w:eastAsia="es-UY"/>
        </w:rPr>
        <w:t xml:space="preserve"> com a presença das delegações da </w:t>
      </w:r>
      <w:r w:rsidRPr="008162CB">
        <w:rPr>
          <w:rFonts w:cs="Arial"/>
          <w:szCs w:val="24"/>
        </w:rPr>
        <w:t>Argentina, do Brasil e do Uruguai</w:t>
      </w:r>
      <w:r w:rsidRPr="008162CB">
        <w:rPr>
          <w:rFonts w:eastAsia="Arial" w:cs="Arial"/>
          <w:szCs w:val="24"/>
          <w:lang w:eastAsia="es-UY"/>
        </w:rPr>
        <w:t>.</w:t>
      </w:r>
    </w:p>
    <w:p w14:paraId="4B70551D" w14:textId="7948BCD9" w:rsidR="7FD28433" w:rsidRPr="008162CB" w:rsidRDefault="7FD28433" w:rsidP="7FD28433">
      <w:pPr>
        <w:jc w:val="both"/>
        <w:rPr>
          <w:rFonts w:eastAsia="Arial" w:cs="Arial"/>
          <w:szCs w:val="24"/>
          <w:lang w:eastAsia="es-UY"/>
        </w:rPr>
      </w:pPr>
    </w:p>
    <w:p w14:paraId="264EB9F8" w14:textId="0E14B478" w:rsidR="7FD28433" w:rsidRPr="008162CB" w:rsidRDefault="7FD28433" w:rsidP="7FD28433">
      <w:pPr>
        <w:jc w:val="both"/>
        <w:rPr>
          <w:rFonts w:eastAsia="Arial" w:cs="Arial"/>
          <w:szCs w:val="24"/>
          <w:lang w:eastAsia="es-UY"/>
        </w:rPr>
      </w:pPr>
      <w:r w:rsidRPr="008162CB">
        <w:rPr>
          <w:rFonts w:eastAsia="Arial" w:cs="Arial"/>
          <w:szCs w:val="24"/>
          <w:lang w:eastAsia="es-UY"/>
        </w:rPr>
        <w:t xml:space="preserve">A delegação do Paraguai foi representada pela Coordenação Nacional </w:t>
      </w:r>
      <w:r w:rsidR="00946005">
        <w:rPr>
          <w:rFonts w:eastAsia="Arial" w:cs="Arial"/>
          <w:szCs w:val="24"/>
          <w:lang w:eastAsia="es-UY"/>
        </w:rPr>
        <w:t xml:space="preserve">da Saúde </w:t>
      </w:r>
      <w:r w:rsidRPr="008162CB">
        <w:rPr>
          <w:rFonts w:eastAsia="Arial" w:cs="Arial"/>
          <w:szCs w:val="24"/>
          <w:lang w:eastAsia="es-UY"/>
        </w:rPr>
        <w:t xml:space="preserve">ao momento da validação e aprovação da </w:t>
      </w:r>
      <w:r w:rsidR="00B35E78" w:rsidRPr="008162CB">
        <w:rPr>
          <w:rFonts w:eastAsia="Arial" w:cs="Arial"/>
          <w:szCs w:val="24"/>
          <w:lang w:eastAsia="es-UY"/>
        </w:rPr>
        <w:t>Ata</w:t>
      </w:r>
      <w:r w:rsidRPr="008162CB">
        <w:rPr>
          <w:rFonts w:eastAsia="Arial" w:cs="Arial"/>
          <w:szCs w:val="24"/>
          <w:lang w:eastAsia="es-UY"/>
        </w:rPr>
        <w:t>.</w:t>
      </w:r>
    </w:p>
    <w:p w14:paraId="5F7F5E7C" w14:textId="77777777" w:rsidR="004F4931" w:rsidRPr="008162CB" w:rsidRDefault="004F4931" w:rsidP="004F4931">
      <w:pPr>
        <w:jc w:val="both"/>
        <w:rPr>
          <w:rFonts w:eastAsia="Arial" w:cs="Arial"/>
          <w:szCs w:val="24"/>
          <w:lang w:eastAsia="es-UY"/>
        </w:rPr>
      </w:pPr>
    </w:p>
    <w:p w14:paraId="34589E1A" w14:textId="77777777" w:rsidR="004F4931" w:rsidRPr="008162CB" w:rsidRDefault="004F4931" w:rsidP="004F4931">
      <w:pPr>
        <w:rPr>
          <w:rFonts w:eastAsia="Arial" w:cs="Arial"/>
          <w:szCs w:val="24"/>
          <w:lang w:eastAsia="es-UY"/>
        </w:rPr>
      </w:pPr>
      <w:r w:rsidRPr="008162CB">
        <w:rPr>
          <w:rFonts w:eastAsia="Arial" w:cs="Arial"/>
          <w:szCs w:val="24"/>
          <w:lang w:eastAsia="es-UY"/>
        </w:rPr>
        <w:t xml:space="preserve">A Lista de Participantes consta no </w:t>
      </w:r>
      <w:r w:rsidRPr="008162CB">
        <w:rPr>
          <w:rFonts w:eastAsia="Arial" w:cs="Arial"/>
          <w:b/>
          <w:bCs/>
          <w:szCs w:val="24"/>
          <w:lang w:eastAsia="es-UY"/>
        </w:rPr>
        <w:t>Anexo I</w:t>
      </w:r>
      <w:r w:rsidRPr="008162CB">
        <w:rPr>
          <w:rFonts w:eastAsia="Arial" w:cs="Arial"/>
          <w:szCs w:val="24"/>
          <w:lang w:eastAsia="es-UY"/>
        </w:rPr>
        <w:t>.</w:t>
      </w:r>
    </w:p>
    <w:p w14:paraId="46B62A3B" w14:textId="77777777" w:rsidR="004F4931" w:rsidRPr="008162CB" w:rsidRDefault="004F4931" w:rsidP="004F4931">
      <w:pPr>
        <w:rPr>
          <w:rFonts w:eastAsia="Arial" w:cs="Arial"/>
          <w:szCs w:val="24"/>
          <w:lang w:eastAsia="es-UY"/>
        </w:rPr>
      </w:pPr>
    </w:p>
    <w:p w14:paraId="557EEAA8" w14:textId="77777777" w:rsidR="004F4931" w:rsidRPr="008162CB" w:rsidRDefault="004F4931" w:rsidP="004F4931">
      <w:pPr>
        <w:rPr>
          <w:rFonts w:eastAsia="Arial" w:cs="Arial"/>
          <w:szCs w:val="24"/>
          <w:lang w:eastAsia="es-UY"/>
        </w:rPr>
      </w:pPr>
      <w:r w:rsidRPr="008162CB">
        <w:rPr>
          <w:rFonts w:eastAsia="Arial" w:cs="Arial"/>
          <w:szCs w:val="24"/>
          <w:lang w:eastAsia="es-UY"/>
        </w:rPr>
        <w:t xml:space="preserve">A Agenda consta no </w:t>
      </w:r>
      <w:r w:rsidRPr="008162CB">
        <w:rPr>
          <w:rFonts w:eastAsia="Arial" w:cs="Arial"/>
          <w:b/>
          <w:bCs/>
          <w:szCs w:val="24"/>
          <w:lang w:eastAsia="es-UY"/>
        </w:rPr>
        <w:t>Anexo II</w:t>
      </w:r>
      <w:r w:rsidRPr="008162CB">
        <w:rPr>
          <w:rFonts w:eastAsia="Arial" w:cs="Arial"/>
          <w:szCs w:val="24"/>
          <w:lang w:eastAsia="es-UY"/>
        </w:rPr>
        <w:t>.</w:t>
      </w:r>
    </w:p>
    <w:p w14:paraId="00FD04FA" w14:textId="77777777" w:rsidR="004F4931" w:rsidRPr="008162CB" w:rsidRDefault="004F4931" w:rsidP="004F4931">
      <w:pPr>
        <w:rPr>
          <w:rFonts w:eastAsia="Arial" w:cs="Arial"/>
          <w:szCs w:val="24"/>
          <w:lang w:eastAsia="es-UY"/>
        </w:rPr>
      </w:pPr>
    </w:p>
    <w:p w14:paraId="59E794BF" w14:textId="77777777" w:rsidR="004F4931" w:rsidRPr="008162CB" w:rsidRDefault="004F4931" w:rsidP="004F4931">
      <w:pPr>
        <w:rPr>
          <w:rFonts w:eastAsia="Arial" w:cs="Arial"/>
          <w:szCs w:val="24"/>
          <w:lang w:eastAsia="es-UY"/>
        </w:rPr>
      </w:pPr>
      <w:r w:rsidRPr="008162CB">
        <w:rPr>
          <w:rFonts w:eastAsia="Arial" w:cs="Arial"/>
          <w:szCs w:val="24"/>
          <w:lang w:eastAsia="es-UY"/>
        </w:rPr>
        <w:t>Durante a reunião, trataram-se os seguintes temas:</w:t>
      </w:r>
    </w:p>
    <w:p w14:paraId="40198E46" w14:textId="77777777" w:rsidR="004F4931" w:rsidRDefault="004F4931">
      <w:pPr>
        <w:rPr>
          <w:rFonts w:cs="Arial"/>
          <w:szCs w:val="24"/>
        </w:rPr>
      </w:pPr>
    </w:p>
    <w:p w14:paraId="6040FCA0" w14:textId="77777777" w:rsidR="00B35E78" w:rsidRPr="008162CB" w:rsidRDefault="00B35E78">
      <w:pPr>
        <w:rPr>
          <w:rFonts w:cs="Arial"/>
          <w:szCs w:val="24"/>
        </w:rPr>
      </w:pPr>
    </w:p>
    <w:p w14:paraId="0FF4D7E3" w14:textId="25114FB4" w:rsidR="004F4931" w:rsidRPr="008162CB" w:rsidRDefault="0077517E" w:rsidP="0077517E">
      <w:pPr>
        <w:pStyle w:val="PargrafodaLista"/>
        <w:numPr>
          <w:ilvl w:val="0"/>
          <w:numId w:val="7"/>
        </w:numPr>
        <w:ind w:left="709" w:hanging="720"/>
        <w:jc w:val="both"/>
        <w:rPr>
          <w:rFonts w:cs="Arial"/>
          <w:b/>
          <w:bCs/>
          <w:szCs w:val="24"/>
        </w:rPr>
      </w:pPr>
      <w:r w:rsidRPr="008162CB">
        <w:rPr>
          <w:rFonts w:cs="Arial"/>
          <w:b/>
          <w:bCs/>
          <w:szCs w:val="24"/>
        </w:rPr>
        <w:t>APROVAÇÃO DA AGENDA</w:t>
      </w:r>
    </w:p>
    <w:p w14:paraId="066A374B" w14:textId="77777777" w:rsidR="00B35E78" w:rsidRDefault="00B35E78" w:rsidP="007D0870">
      <w:pPr>
        <w:ind w:left="-11"/>
        <w:jc w:val="both"/>
        <w:rPr>
          <w:rFonts w:cs="Arial"/>
          <w:bCs/>
          <w:szCs w:val="24"/>
        </w:rPr>
      </w:pPr>
    </w:p>
    <w:p w14:paraId="7D42C35C" w14:textId="60F086A4" w:rsidR="007D0870" w:rsidRPr="008162CB" w:rsidRDefault="007D0870" w:rsidP="007D0870">
      <w:pPr>
        <w:ind w:left="-11"/>
        <w:jc w:val="both"/>
        <w:rPr>
          <w:rFonts w:cs="Arial"/>
          <w:bCs/>
          <w:szCs w:val="24"/>
        </w:rPr>
      </w:pPr>
      <w:r w:rsidRPr="008162CB">
        <w:rPr>
          <w:rFonts w:cs="Arial"/>
          <w:bCs/>
          <w:szCs w:val="24"/>
        </w:rPr>
        <w:t>A agenda foi aprovada c</w:t>
      </w:r>
      <w:r w:rsidR="006A71F9" w:rsidRPr="008162CB">
        <w:rPr>
          <w:rFonts w:cs="Arial"/>
          <w:bCs/>
          <w:szCs w:val="24"/>
        </w:rPr>
        <w:t xml:space="preserve">onsensualmente pelas delegações, conforme </w:t>
      </w:r>
      <w:r w:rsidR="008162CB" w:rsidRPr="008162CB">
        <w:rPr>
          <w:rFonts w:cs="Arial"/>
          <w:b/>
          <w:bCs/>
          <w:color w:val="000000" w:themeColor="text1"/>
          <w:szCs w:val="24"/>
        </w:rPr>
        <w:t>Anexo</w:t>
      </w:r>
      <w:r w:rsidR="006A71F9" w:rsidRPr="008162CB">
        <w:rPr>
          <w:rFonts w:cs="Arial"/>
          <w:b/>
          <w:bCs/>
          <w:color w:val="000000" w:themeColor="text1"/>
          <w:szCs w:val="24"/>
        </w:rPr>
        <w:t xml:space="preserve"> </w:t>
      </w:r>
      <w:r w:rsidR="008162CB" w:rsidRPr="008162CB">
        <w:rPr>
          <w:rFonts w:cs="Arial"/>
          <w:b/>
          <w:bCs/>
          <w:color w:val="000000" w:themeColor="text1"/>
          <w:szCs w:val="24"/>
        </w:rPr>
        <w:t>I</w:t>
      </w:r>
      <w:r w:rsidR="006A71F9" w:rsidRPr="008162CB">
        <w:rPr>
          <w:rFonts w:cs="Arial"/>
          <w:b/>
          <w:bCs/>
          <w:color w:val="000000" w:themeColor="text1"/>
          <w:szCs w:val="24"/>
        </w:rPr>
        <w:t>I</w:t>
      </w:r>
      <w:r w:rsidR="006A71F9" w:rsidRPr="008162CB">
        <w:rPr>
          <w:rFonts w:cs="Arial"/>
          <w:bCs/>
          <w:szCs w:val="24"/>
        </w:rPr>
        <w:t>.</w:t>
      </w:r>
    </w:p>
    <w:p w14:paraId="459DE915" w14:textId="77777777" w:rsidR="004F4931" w:rsidRPr="00B35E78" w:rsidRDefault="004F4931" w:rsidP="00B35E78">
      <w:pPr>
        <w:rPr>
          <w:rFonts w:cs="Arial"/>
          <w:szCs w:val="24"/>
        </w:rPr>
      </w:pPr>
    </w:p>
    <w:p w14:paraId="3C4A4140" w14:textId="77777777" w:rsidR="004F4931" w:rsidRPr="008162CB" w:rsidRDefault="004F4931" w:rsidP="004F4931">
      <w:pPr>
        <w:rPr>
          <w:rFonts w:cs="Arial"/>
          <w:szCs w:val="24"/>
        </w:rPr>
      </w:pPr>
    </w:p>
    <w:p w14:paraId="6C7075EE" w14:textId="0BA8A1DA" w:rsidR="5D5BA42F" w:rsidRPr="008162CB" w:rsidRDefault="7FD28433" w:rsidP="7FD28433">
      <w:pPr>
        <w:pStyle w:val="PargrafodaLista"/>
        <w:numPr>
          <w:ilvl w:val="0"/>
          <w:numId w:val="7"/>
        </w:numPr>
        <w:ind w:left="709" w:hanging="720"/>
        <w:jc w:val="both"/>
        <w:rPr>
          <w:rFonts w:cs="Arial"/>
          <w:b/>
          <w:bCs/>
          <w:szCs w:val="24"/>
        </w:rPr>
      </w:pPr>
      <w:r w:rsidRPr="008162CB">
        <w:rPr>
          <w:rFonts w:cs="Arial"/>
          <w:b/>
          <w:bCs/>
          <w:szCs w:val="24"/>
        </w:rPr>
        <w:t>RELATÓRIO SEMESTRAL SOBRE O GRAU DE AVANÇO DO PROGRAMA DE TRABALHO DO PERÍODO 2025-2026</w:t>
      </w:r>
    </w:p>
    <w:p w14:paraId="0F2447CF" w14:textId="77777777" w:rsidR="006A71F9" w:rsidRPr="008162CB" w:rsidRDefault="006A71F9" w:rsidP="7FD28433">
      <w:pPr>
        <w:jc w:val="both"/>
        <w:rPr>
          <w:rFonts w:cs="Arial"/>
          <w:szCs w:val="24"/>
        </w:rPr>
      </w:pPr>
    </w:p>
    <w:p w14:paraId="039D2D02" w14:textId="36FBD496" w:rsidR="5D5BA42F" w:rsidRPr="00B35E78" w:rsidRDefault="006A71F9" w:rsidP="7FD28433">
      <w:pPr>
        <w:jc w:val="both"/>
        <w:rPr>
          <w:rFonts w:cs="Arial"/>
          <w:b/>
          <w:bCs/>
          <w:szCs w:val="24"/>
        </w:rPr>
      </w:pPr>
      <w:r w:rsidRPr="008162CB">
        <w:rPr>
          <w:rFonts w:cs="Arial"/>
          <w:szCs w:val="24"/>
        </w:rPr>
        <w:t>O Relatório Semestral sobre o grau de Avanço do Programa de Trabalho do Período 2025-2026</w:t>
      </w:r>
      <w:r w:rsidR="008162CB">
        <w:rPr>
          <w:rFonts w:cs="Arial"/>
          <w:szCs w:val="24"/>
        </w:rPr>
        <w:t xml:space="preserve"> </w:t>
      </w:r>
      <w:r w:rsidR="00AE16F7">
        <w:rPr>
          <w:rFonts w:cs="Arial"/>
          <w:szCs w:val="24"/>
        </w:rPr>
        <w:t xml:space="preserve">consta </w:t>
      </w:r>
      <w:r w:rsidR="008162CB">
        <w:rPr>
          <w:rFonts w:cs="Arial"/>
          <w:szCs w:val="24"/>
        </w:rPr>
        <w:t xml:space="preserve">no </w:t>
      </w:r>
      <w:r w:rsidR="008162CB" w:rsidRPr="008162CB">
        <w:rPr>
          <w:rFonts w:cs="Arial"/>
          <w:b/>
          <w:szCs w:val="24"/>
        </w:rPr>
        <w:t>Anexo</w:t>
      </w:r>
      <w:r w:rsidRPr="008162CB">
        <w:rPr>
          <w:rFonts w:cs="Arial"/>
          <w:b/>
          <w:szCs w:val="24"/>
        </w:rPr>
        <w:t xml:space="preserve"> III</w:t>
      </w:r>
      <w:r w:rsidRPr="008162CB">
        <w:rPr>
          <w:rFonts w:cs="Arial"/>
          <w:szCs w:val="24"/>
        </w:rPr>
        <w:t>.</w:t>
      </w:r>
    </w:p>
    <w:p w14:paraId="3B6CCFF1" w14:textId="23A40287" w:rsidR="5D5BA42F" w:rsidRPr="00B35E78" w:rsidRDefault="007D0870" w:rsidP="7FD28433">
      <w:pPr>
        <w:pStyle w:val="Ttulo3"/>
        <w:spacing w:before="281" w:after="281"/>
        <w:jc w:val="both"/>
        <w:rPr>
          <w:rFonts w:eastAsia="Arial" w:cs="Arial"/>
          <w:color w:val="000000" w:themeColor="text1"/>
          <w:sz w:val="24"/>
          <w:szCs w:val="24"/>
        </w:rPr>
      </w:pPr>
      <w:r w:rsidRPr="00B35E78">
        <w:rPr>
          <w:rFonts w:eastAsia="Arial" w:cs="Arial"/>
          <w:b/>
          <w:bCs/>
          <w:color w:val="000000" w:themeColor="text1"/>
          <w:sz w:val="24"/>
          <w:szCs w:val="24"/>
        </w:rPr>
        <w:t>2</w:t>
      </w:r>
      <w:r w:rsidR="7FD28433" w:rsidRPr="00B35E78">
        <w:rPr>
          <w:rFonts w:eastAsia="Arial" w:cs="Arial"/>
          <w:b/>
          <w:bCs/>
          <w:color w:val="000000" w:themeColor="text1"/>
          <w:sz w:val="24"/>
          <w:szCs w:val="24"/>
        </w:rPr>
        <w:t xml:space="preserve">.1 </w:t>
      </w:r>
      <w:r w:rsidR="7FD28433" w:rsidRPr="00B35E78">
        <w:rPr>
          <w:rFonts w:eastAsia="Arial" w:cs="Arial"/>
          <w:color w:val="000000" w:themeColor="text1"/>
          <w:sz w:val="24"/>
          <w:szCs w:val="24"/>
        </w:rPr>
        <w:t>Realizar um diagnóstico da situação atual da implementação de acordos de acesso gerenciado na região, focando em tecnologias inovadoras e de alto custo.</w:t>
      </w:r>
    </w:p>
    <w:p w14:paraId="2FDBC2A5" w14:textId="1EAEBA5C" w:rsidR="5D5BA42F" w:rsidRPr="00B35E78" w:rsidRDefault="7FD28433" w:rsidP="7FD28433">
      <w:pPr>
        <w:pStyle w:val="PargrafodaLista"/>
        <w:numPr>
          <w:ilvl w:val="0"/>
          <w:numId w:val="3"/>
        </w:numPr>
        <w:spacing w:before="240" w:after="240"/>
        <w:jc w:val="both"/>
        <w:rPr>
          <w:rFonts w:eastAsia="Arial" w:cs="Arial"/>
          <w:szCs w:val="24"/>
        </w:rPr>
      </w:pPr>
      <w:r w:rsidRPr="00B35E78">
        <w:rPr>
          <w:rFonts w:eastAsia="Arial" w:cs="Arial"/>
          <w:b/>
          <w:bCs/>
          <w:szCs w:val="24"/>
        </w:rPr>
        <w:t>Formar uma equipe técnica</w:t>
      </w:r>
      <w:r w:rsidRPr="00B35E78">
        <w:rPr>
          <w:rFonts w:eastAsia="Arial" w:cs="Arial"/>
          <w:szCs w:val="24"/>
        </w:rPr>
        <w:t xml:space="preserve"> com representantes dos Estados Partes.</w:t>
      </w:r>
    </w:p>
    <w:p w14:paraId="1D040810" w14:textId="601DC3C7" w:rsidR="5D5BA42F" w:rsidRPr="00B35E78" w:rsidRDefault="7FD28433" w:rsidP="7FD28433">
      <w:pPr>
        <w:pStyle w:val="PargrafodaLista"/>
        <w:numPr>
          <w:ilvl w:val="0"/>
          <w:numId w:val="3"/>
        </w:numPr>
        <w:spacing w:before="240" w:after="240"/>
        <w:jc w:val="both"/>
        <w:rPr>
          <w:rFonts w:eastAsia="Arial" w:cs="Arial"/>
          <w:szCs w:val="24"/>
        </w:rPr>
      </w:pPr>
      <w:r w:rsidRPr="00B35E78">
        <w:rPr>
          <w:rFonts w:eastAsia="Arial" w:cs="Arial"/>
          <w:b/>
          <w:bCs/>
          <w:szCs w:val="24"/>
        </w:rPr>
        <w:t>Trabalhar em conjunto</w:t>
      </w:r>
      <w:r w:rsidRPr="00B35E78">
        <w:rPr>
          <w:rFonts w:eastAsia="Arial" w:cs="Arial"/>
          <w:szCs w:val="24"/>
        </w:rPr>
        <w:t xml:space="preserve"> com a Comissão de Acesso para definir os critérios de elegibilidade.</w:t>
      </w:r>
    </w:p>
    <w:p w14:paraId="12F6F4E8" w14:textId="5974EB40" w:rsidR="5D5BA42F" w:rsidRDefault="7FD28433" w:rsidP="7FD28433">
      <w:pPr>
        <w:pStyle w:val="PargrafodaLista"/>
        <w:numPr>
          <w:ilvl w:val="0"/>
          <w:numId w:val="3"/>
        </w:numPr>
        <w:spacing w:before="240" w:after="240"/>
        <w:jc w:val="both"/>
        <w:rPr>
          <w:rFonts w:eastAsia="Arial" w:cs="Arial"/>
          <w:szCs w:val="24"/>
        </w:rPr>
      </w:pPr>
      <w:r w:rsidRPr="00B35E78">
        <w:rPr>
          <w:rFonts w:eastAsia="Arial" w:cs="Arial"/>
          <w:b/>
          <w:bCs/>
          <w:szCs w:val="24"/>
        </w:rPr>
        <w:t>Identificar oportunidades, barreiras e facilitadores</w:t>
      </w:r>
      <w:r w:rsidRPr="00B35E78">
        <w:rPr>
          <w:rFonts w:eastAsia="Arial" w:cs="Arial"/>
          <w:szCs w:val="24"/>
        </w:rPr>
        <w:t xml:space="preserve"> para a implementação de acordos de acesso gerenciado.</w:t>
      </w:r>
    </w:p>
    <w:p w14:paraId="1F9355FB" w14:textId="77777777" w:rsidR="00B35E78" w:rsidRDefault="00B35E78" w:rsidP="00B35E78">
      <w:pPr>
        <w:pStyle w:val="PargrafodaLista"/>
        <w:spacing w:before="240" w:after="240"/>
        <w:jc w:val="both"/>
        <w:rPr>
          <w:rFonts w:eastAsia="Arial" w:cs="Arial"/>
          <w:szCs w:val="24"/>
        </w:rPr>
      </w:pPr>
    </w:p>
    <w:p w14:paraId="279689AA" w14:textId="77777777" w:rsidR="00B35E78" w:rsidRDefault="00B35E78" w:rsidP="00B35E78">
      <w:pPr>
        <w:pStyle w:val="PargrafodaLista"/>
        <w:spacing w:before="240" w:after="240"/>
        <w:jc w:val="both"/>
        <w:rPr>
          <w:rFonts w:eastAsia="Arial" w:cs="Arial"/>
          <w:szCs w:val="24"/>
        </w:rPr>
      </w:pPr>
    </w:p>
    <w:p w14:paraId="367A6286" w14:textId="77777777" w:rsidR="00B35E78" w:rsidRPr="00B35E78" w:rsidRDefault="00B35E78" w:rsidP="00B35E78">
      <w:pPr>
        <w:pStyle w:val="PargrafodaLista"/>
        <w:tabs>
          <w:tab w:val="center" w:pos="4419"/>
          <w:tab w:val="right" w:pos="8838"/>
        </w:tabs>
        <w:jc w:val="center"/>
        <w:rPr>
          <w:b/>
          <w:i/>
          <w:sz w:val="16"/>
          <w:szCs w:val="16"/>
          <w:lang w:val="es-UY"/>
        </w:rPr>
      </w:pPr>
      <w:r w:rsidRPr="00B35E78">
        <w:rPr>
          <w:b/>
          <w:i/>
          <w:sz w:val="16"/>
          <w:szCs w:val="16"/>
          <w:lang w:val="es-UY"/>
        </w:rPr>
        <w:t>Secretaría del MERCOSUR</w:t>
      </w:r>
    </w:p>
    <w:p w14:paraId="10227EEE" w14:textId="77777777" w:rsidR="00B35E78" w:rsidRPr="00B35E78" w:rsidRDefault="00B35E78" w:rsidP="00B35E78">
      <w:pPr>
        <w:pStyle w:val="PargrafodaLista"/>
        <w:tabs>
          <w:tab w:val="center" w:pos="4419"/>
          <w:tab w:val="right" w:pos="8838"/>
        </w:tabs>
        <w:jc w:val="center"/>
        <w:rPr>
          <w:b/>
          <w:sz w:val="16"/>
          <w:szCs w:val="16"/>
          <w:lang w:val="es-UY"/>
        </w:rPr>
      </w:pPr>
      <w:r w:rsidRPr="00B35E78">
        <w:rPr>
          <w:b/>
          <w:sz w:val="16"/>
          <w:szCs w:val="16"/>
          <w:lang w:val="es-UY"/>
        </w:rPr>
        <w:t>Archivo Oficial</w:t>
      </w:r>
    </w:p>
    <w:p w14:paraId="751EB890" w14:textId="755443CB" w:rsidR="00B35E78" w:rsidRPr="00B35E78" w:rsidRDefault="00B35E78" w:rsidP="00B35E78">
      <w:pPr>
        <w:pStyle w:val="PargrafodaLista"/>
        <w:tabs>
          <w:tab w:val="center" w:pos="4419"/>
          <w:tab w:val="right" w:pos="8838"/>
        </w:tabs>
        <w:jc w:val="center"/>
        <w:rPr>
          <w:sz w:val="16"/>
          <w:szCs w:val="16"/>
          <w:lang w:val="es-UY"/>
        </w:rPr>
      </w:pPr>
      <w:hyperlink r:id="rId9" w:history="1">
        <w:r w:rsidRPr="00B35E78">
          <w:rPr>
            <w:rStyle w:val="Hyperlink"/>
            <w:color w:val="auto"/>
            <w:sz w:val="16"/>
            <w:szCs w:val="16"/>
            <w:u w:val="none"/>
            <w:lang w:val="es-UY"/>
          </w:rPr>
          <w:t>www.mercosur.int</w:t>
        </w:r>
      </w:hyperlink>
    </w:p>
    <w:p w14:paraId="4E670796" w14:textId="77777777" w:rsidR="00B35E78" w:rsidRPr="00B35E78" w:rsidRDefault="00B35E78" w:rsidP="00B35E78">
      <w:pPr>
        <w:pStyle w:val="PargrafodaLista"/>
        <w:tabs>
          <w:tab w:val="center" w:pos="4419"/>
          <w:tab w:val="right" w:pos="8838"/>
        </w:tabs>
        <w:jc w:val="center"/>
        <w:rPr>
          <w:lang w:val="es-UY"/>
        </w:rPr>
      </w:pPr>
    </w:p>
    <w:p w14:paraId="621296BE" w14:textId="5678D1D1" w:rsidR="00B35E78" w:rsidRPr="00B35E78" w:rsidRDefault="7FD28433" w:rsidP="00B35E78">
      <w:pPr>
        <w:pStyle w:val="PargrafodaLista"/>
        <w:numPr>
          <w:ilvl w:val="0"/>
          <w:numId w:val="3"/>
        </w:numPr>
        <w:spacing w:before="240" w:after="240"/>
        <w:jc w:val="both"/>
        <w:rPr>
          <w:rFonts w:eastAsia="Arial" w:cs="Arial"/>
          <w:szCs w:val="24"/>
        </w:rPr>
      </w:pPr>
      <w:r w:rsidRPr="00B35E78">
        <w:rPr>
          <w:rFonts w:eastAsia="Arial" w:cs="Arial"/>
          <w:b/>
          <w:bCs/>
          <w:szCs w:val="24"/>
        </w:rPr>
        <w:lastRenderedPageBreak/>
        <w:t>Elaborar um mapeamento</w:t>
      </w:r>
      <w:r w:rsidRPr="00B35E78">
        <w:rPr>
          <w:rFonts w:eastAsia="Arial" w:cs="Arial"/>
          <w:szCs w:val="24"/>
        </w:rPr>
        <w:t xml:space="preserve"> normativo e regulatório.</w:t>
      </w:r>
    </w:p>
    <w:p w14:paraId="7E4D75E0" w14:textId="6A832528" w:rsidR="00B35E78" w:rsidRPr="00B35E78" w:rsidRDefault="7FD28433" w:rsidP="00B35E78">
      <w:pPr>
        <w:pStyle w:val="PargrafodaLista"/>
        <w:numPr>
          <w:ilvl w:val="0"/>
          <w:numId w:val="3"/>
        </w:numPr>
        <w:spacing w:before="240" w:after="240"/>
        <w:jc w:val="both"/>
        <w:rPr>
          <w:rFonts w:eastAsia="Arial" w:cs="Arial"/>
          <w:szCs w:val="24"/>
        </w:rPr>
      </w:pPr>
      <w:r w:rsidRPr="00B35E78">
        <w:rPr>
          <w:rFonts w:eastAsia="Arial" w:cs="Arial"/>
          <w:b/>
          <w:bCs/>
          <w:szCs w:val="24"/>
        </w:rPr>
        <w:t>Revisar experiências</w:t>
      </w:r>
      <w:r w:rsidRPr="00B35E78">
        <w:rPr>
          <w:rFonts w:eastAsia="Arial" w:cs="Arial"/>
          <w:szCs w:val="24"/>
        </w:rPr>
        <w:t xml:space="preserve"> anteriores do MERCOSUL e de outros países da América.</w:t>
      </w:r>
    </w:p>
    <w:p w14:paraId="58708D3F" w14:textId="5E3E7BFB" w:rsidR="00B35E78" w:rsidRPr="00B35E78" w:rsidRDefault="7FD28433" w:rsidP="00B35E78">
      <w:pPr>
        <w:pStyle w:val="PargrafodaLista"/>
        <w:numPr>
          <w:ilvl w:val="0"/>
          <w:numId w:val="3"/>
        </w:numPr>
        <w:spacing w:before="240" w:after="240"/>
        <w:jc w:val="both"/>
        <w:rPr>
          <w:rFonts w:eastAsia="Arial" w:cs="Arial"/>
          <w:szCs w:val="24"/>
        </w:rPr>
      </w:pPr>
      <w:r w:rsidRPr="00B35E78">
        <w:rPr>
          <w:rFonts w:eastAsia="Arial" w:cs="Arial"/>
          <w:b/>
          <w:bCs/>
          <w:szCs w:val="24"/>
        </w:rPr>
        <w:t>Consultar as partes interessadas</w:t>
      </w:r>
      <w:r w:rsidRPr="00B35E78">
        <w:rPr>
          <w:rFonts w:eastAsia="Arial" w:cs="Arial"/>
          <w:szCs w:val="24"/>
        </w:rPr>
        <w:t xml:space="preserve"> (financiadores, indústria e pacientes).</w:t>
      </w:r>
    </w:p>
    <w:p w14:paraId="5A95B352" w14:textId="25860BFE" w:rsidR="00B35E78" w:rsidRPr="00B35E78" w:rsidRDefault="7FD28433" w:rsidP="7FD28433">
      <w:pPr>
        <w:pStyle w:val="PargrafodaLista"/>
        <w:numPr>
          <w:ilvl w:val="0"/>
          <w:numId w:val="3"/>
        </w:numPr>
        <w:spacing w:before="240" w:after="240"/>
        <w:jc w:val="both"/>
        <w:rPr>
          <w:rFonts w:eastAsia="Arial" w:cs="Arial"/>
          <w:szCs w:val="24"/>
        </w:rPr>
      </w:pPr>
      <w:r w:rsidRPr="00B35E78">
        <w:rPr>
          <w:rFonts w:eastAsia="Arial" w:cs="Arial"/>
          <w:b/>
          <w:bCs/>
          <w:szCs w:val="24"/>
        </w:rPr>
        <w:t>Definir critérios comuns</w:t>
      </w:r>
      <w:r w:rsidRPr="00B35E78">
        <w:rPr>
          <w:rFonts w:eastAsia="Arial" w:cs="Arial"/>
          <w:szCs w:val="24"/>
        </w:rPr>
        <w:t xml:space="preserve"> para a elegibilidade e a priorização de tecnologias.</w:t>
      </w:r>
    </w:p>
    <w:p w14:paraId="0B6D16CB" w14:textId="33D7F96F" w:rsidR="5D5BA42F" w:rsidRPr="008162CB" w:rsidRDefault="7FD28433" w:rsidP="7FD28433">
      <w:pPr>
        <w:spacing w:before="240" w:after="240"/>
        <w:jc w:val="both"/>
        <w:rPr>
          <w:rFonts w:cs="Arial"/>
          <w:szCs w:val="24"/>
        </w:rPr>
      </w:pPr>
      <w:r w:rsidRPr="00B35E78">
        <w:rPr>
          <w:rFonts w:eastAsia="Arial" w:cs="Arial"/>
          <w:b/>
          <w:bCs/>
          <w:szCs w:val="24"/>
        </w:rPr>
        <w:t>Resumo da Discussão</w:t>
      </w:r>
    </w:p>
    <w:p w14:paraId="56BD55CF" w14:textId="22AAE2D4" w:rsidR="5D5BA42F" w:rsidRPr="008162CB" w:rsidRDefault="7FD28433" w:rsidP="7FD28433">
      <w:pPr>
        <w:spacing w:before="240" w:after="240"/>
        <w:jc w:val="both"/>
        <w:rPr>
          <w:rFonts w:cs="Arial"/>
          <w:szCs w:val="24"/>
        </w:rPr>
      </w:pPr>
      <w:r w:rsidRPr="008162CB">
        <w:rPr>
          <w:rFonts w:eastAsia="Arial" w:cs="Arial"/>
          <w:szCs w:val="24"/>
        </w:rPr>
        <w:t xml:space="preserve">Inicialmente, foi feito uma apresentação das experiências dos países participantes, e foi constatado que apenas o Brasil e a Argentina têm acordos de acesso gerenciado no sistema público de saúde. A representante da </w:t>
      </w:r>
      <w:r w:rsidRPr="004023C6">
        <w:rPr>
          <w:rFonts w:eastAsia="Arial" w:cs="Arial"/>
          <w:szCs w:val="24"/>
        </w:rPr>
        <w:t xml:space="preserve">Argentina </w:t>
      </w:r>
      <w:r w:rsidRPr="008162CB">
        <w:rPr>
          <w:rFonts w:eastAsia="Arial" w:cs="Arial"/>
          <w:szCs w:val="24"/>
        </w:rPr>
        <w:t xml:space="preserve">apresentou sua experiência com o medicamento </w:t>
      </w:r>
      <w:proofErr w:type="spellStart"/>
      <w:r w:rsidRPr="004023C6">
        <w:rPr>
          <w:rFonts w:eastAsia="Arial" w:cs="Arial"/>
          <w:szCs w:val="24"/>
        </w:rPr>
        <w:t>Zolgensma</w:t>
      </w:r>
      <w:proofErr w:type="spellEnd"/>
      <w:r w:rsidR="006A71F9" w:rsidRPr="008162CB">
        <w:rPr>
          <w:rFonts w:eastAsia="Arial" w:cs="Arial"/>
          <w:b/>
          <w:bCs/>
          <w:szCs w:val="24"/>
        </w:rPr>
        <w:t xml:space="preserve"> (</w:t>
      </w:r>
      <w:r w:rsidR="008162CB" w:rsidRPr="008162CB">
        <w:rPr>
          <w:rFonts w:eastAsia="Arial" w:cs="Arial"/>
          <w:b/>
          <w:bCs/>
          <w:szCs w:val="24"/>
        </w:rPr>
        <w:t>Anexo</w:t>
      </w:r>
      <w:r w:rsidR="006A71F9" w:rsidRPr="008162CB">
        <w:rPr>
          <w:rFonts w:eastAsia="Arial" w:cs="Arial"/>
          <w:b/>
          <w:bCs/>
          <w:szCs w:val="24"/>
        </w:rPr>
        <w:t xml:space="preserve"> XI)</w:t>
      </w:r>
      <w:r w:rsidRPr="008162CB">
        <w:rPr>
          <w:rFonts w:eastAsia="Arial" w:cs="Arial"/>
          <w:szCs w:val="24"/>
        </w:rPr>
        <w:t xml:space="preserve">, enquanto a delegação brasileira comentou sobre um acordo assinado recentemente. O </w:t>
      </w:r>
      <w:r w:rsidRPr="004023C6">
        <w:rPr>
          <w:rFonts w:eastAsia="Arial" w:cs="Arial"/>
          <w:szCs w:val="24"/>
        </w:rPr>
        <w:t>Uruguai,</w:t>
      </w:r>
      <w:r w:rsidRPr="008162CB">
        <w:rPr>
          <w:rFonts w:eastAsia="Arial" w:cs="Arial"/>
          <w:szCs w:val="24"/>
        </w:rPr>
        <w:t xml:space="preserve"> por sua vez, informou não ter experiência com esse tipo de acordo nem demanda efetiva para assinar um no momento. No caso específico do </w:t>
      </w:r>
      <w:proofErr w:type="spellStart"/>
      <w:r w:rsidRPr="008162CB">
        <w:rPr>
          <w:rFonts w:eastAsia="Arial" w:cs="Arial"/>
          <w:szCs w:val="24"/>
        </w:rPr>
        <w:t>Zolgensma</w:t>
      </w:r>
      <w:proofErr w:type="spellEnd"/>
      <w:r w:rsidRPr="008162CB">
        <w:rPr>
          <w:rFonts w:eastAsia="Arial" w:cs="Arial"/>
          <w:szCs w:val="24"/>
        </w:rPr>
        <w:t>, o medicamento tem registro no país, mas não há prescrições registradas até a data da reunião.</w:t>
      </w:r>
    </w:p>
    <w:p w14:paraId="689A88D7" w14:textId="35DE46A1" w:rsidR="5D5BA42F" w:rsidRPr="008162CB" w:rsidRDefault="7FD28433" w:rsidP="7FD28433">
      <w:pPr>
        <w:spacing w:before="240" w:after="240"/>
        <w:jc w:val="both"/>
        <w:rPr>
          <w:rFonts w:cs="Arial"/>
          <w:szCs w:val="24"/>
        </w:rPr>
      </w:pPr>
      <w:r w:rsidRPr="00B35E78">
        <w:rPr>
          <w:rFonts w:eastAsia="Arial" w:cs="Arial"/>
          <w:szCs w:val="24"/>
        </w:rPr>
        <w:t>Foi acordado que a equipe técnica, liderada por representantes do Brasil e da Argentina, será formada para dar continuidade às demais tarefas do objetivo.</w:t>
      </w:r>
    </w:p>
    <w:p w14:paraId="374FDABE" w14:textId="6ACCEF6A" w:rsidR="5D5BA42F" w:rsidRPr="004023C6" w:rsidRDefault="007D0870" w:rsidP="7FD28433">
      <w:pPr>
        <w:pStyle w:val="Ttulo3"/>
        <w:spacing w:before="281" w:after="281"/>
        <w:jc w:val="both"/>
        <w:rPr>
          <w:rFonts w:eastAsia="Arial" w:cs="Arial"/>
          <w:color w:val="000000" w:themeColor="text1"/>
          <w:sz w:val="24"/>
          <w:szCs w:val="24"/>
        </w:rPr>
      </w:pPr>
      <w:r w:rsidRPr="00B35E78">
        <w:rPr>
          <w:rFonts w:eastAsia="Arial" w:cs="Arial"/>
          <w:b/>
          <w:bCs/>
          <w:color w:val="000000" w:themeColor="text1"/>
          <w:sz w:val="24"/>
          <w:szCs w:val="24"/>
        </w:rPr>
        <w:t>2</w:t>
      </w:r>
      <w:r w:rsidR="7FD28433" w:rsidRPr="00B35E78">
        <w:rPr>
          <w:rFonts w:eastAsia="Arial" w:cs="Arial"/>
          <w:b/>
          <w:bCs/>
          <w:color w:val="000000" w:themeColor="text1"/>
          <w:sz w:val="24"/>
          <w:szCs w:val="24"/>
        </w:rPr>
        <w:t xml:space="preserve">.2 </w:t>
      </w:r>
      <w:r w:rsidR="7FD28433" w:rsidRPr="00B35E78">
        <w:rPr>
          <w:rFonts w:eastAsia="Arial" w:cs="Arial"/>
          <w:color w:val="000000" w:themeColor="text1"/>
          <w:sz w:val="24"/>
          <w:szCs w:val="24"/>
        </w:rPr>
        <w:t xml:space="preserve">Definir um modelo regional de gestão do ciclo de vida das tecnologias, baseado em evidências e valor, para o controle pós-implementação de </w:t>
      </w:r>
      <w:r w:rsidR="7FD28433" w:rsidRPr="004023C6">
        <w:rPr>
          <w:rFonts w:eastAsia="Arial" w:cs="Arial"/>
          <w:color w:val="000000" w:themeColor="text1"/>
          <w:sz w:val="24"/>
          <w:szCs w:val="24"/>
        </w:rPr>
        <w:t>tecnologias com incertezas sobre seu impacto clínico ou econômico.</w:t>
      </w:r>
    </w:p>
    <w:p w14:paraId="05914BD6" w14:textId="4CB1CCE2" w:rsidR="5D5BA42F" w:rsidRPr="004023C6" w:rsidRDefault="7FD28433" w:rsidP="7FD28433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Realizar um diagnóstico da situação da implementação de estratégias para a gestão do ciclo de vida das tecnologias que possuem incertezas sobre o custo/efetividade.</w:t>
      </w:r>
    </w:p>
    <w:p w14:paraId="2758ECC9" w14:textId="6F31DD18" w:rsidR="5D5BA42F" w:rsidRPr="004023C6" w:rsidRDefault="7FD28433" w:rsidP="7FD28433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Identificar barreiras e oportunidades na vigilância de tecnologias em saúde e na avaliação pós-implementação.</w:t>
      </w:r>
    </w:p>
    <w:p w14:paraId="14F91207" w14:textId="481648AC" w:rsidR="5D5BA42F" w:rsidRPr="004023C6" w:rsidRDefault="7FD28433" w:rsidP="7FD28433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Propor métodos para a geração de dados sobre o uso de tecnologias nos Estados Partes.</w:t>
      </w:r>
    </w:p>
    <w:p w14:paraId="587AA957" w14:textId="05E06104" w:rsidR="5D5BA42F" w:rsidRPr="004023C6" w:rsidRDefault="7FD28433" w:rsidP="7FD28433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Realizar um diagnóstico comparativo das capacidades de monitoramento, identificando as lacunas nos registros clínicos, na interoperabilidade e nos recursos analíticos de cada país.</w:t>
      </w:r>
    </w:p>
    <w:p w14:paraId="77A58C68" w14:textId="057B0DE0" w:rsidR="5D5BA42F" w:rsidRPr="004023C6" w:rsidRDefault="7FD28433" w:rsidP="7FD28433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Definir uma estrutura regional de monitoramento pós-implementação, incluindo indicadores mínimos (efetividade, segurança, uso, custos), limites de ação e fontes de dados recomendadas.</w:t>
      </w:r>
    </w:p>
    <w:p w14:paraId="61FFAE0E" w14:textId="5E273BD2" w:rsidR="5D5BA42F" w:rsidRPr="00B35E78" w:rsidRDefault="7FD28433" w:rsidP="7FD28433">
      <w:pPr>
        <w:pStyle w:val="PargrafodaLista"/>
        <w:numPr>
          <w:ilvl w:val="0"/>
          <w:numId w:val="2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Identificar modelos de governança e fluxo de dados, propondo funções, responsabilidades e processos para a coleta, validação e compartilhamento seguro de dados</w:t>
      </w:r>
      <w:r w:rsidRPr="00B35E78">
        <w:rPr>
          <w:rFonts w:eastAsia="Arial" w:cs="Arial"/>
          <w:szCs w:val="24"/>
        </w:rPr>
        <w:t xml:space="preserve"> entre as instituições.</w:t>
      </w:r>
    </w:p>
    <w:p w14:paraId="4E7B6BAB" w14:textId="763D61A7" w:rsidR="5D5BA42F" w:rsidRPr="008162CB" w:rsidRDefault="7FD28433" w:rsidP="7FD28433">
      <w:pPr>
        <w:spacing w:before="240" w:after="240"/>
        <w:jc w:val="both"/>
        <w:rPr>
          <w:rFonts w:cs="Arial"/>
          <w:szCs w:val="24"/>
        </w:rPr>
      </w:pPr>
      <w:r w:rsidRPr="00B35E78">
        <w:rPr>
          <w:rFonts w:eastAsia="Arial" w:cs="Arial"/>
          <w:b/>
          <w:bCs/>
          <w:szCs w:val="24"/>
        </w:rPr>
        <w:t>Resumo da Discussão</w:t>
      </w:r>
    </w:p>
    <w:p w14:paraId="70D417BC" w14:textId="4326B54F" w:rsidR="5D5BA42F" w:rsidRPr="008162CB" w:rsidRDefault="7FD28433" w:rsidP="7FD28433">
      <w:pPr>
        <w:spacing w:before="240" w:after="240"/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 xml:space="preserve">Durante a reunião, foi abordada a estratégia de incorporação de tecnologias em saúde como ponto de partida para a avaliação do ciclo de vida de tecnologias. As experiências foram compartilhadas entre os países, com a discussão focada nas diferentes capacidades de monitoramento clínico, registros e fontes de dados. A </w:t>
      </w:r>
      <w:r w:rsidRPr="004023C6">
        <w:rPr>
          <w:rFonts w:eastAsia="Arial" w:cs="Arial"/>
          <w:szCs w:val="24"/>
        </w:rPr>
        <w:t xml:space="preserve">Argentina </w:t>
      </w:r>
      <w:r w:rsidRPr="008162CB">
        <w:rPr>
          <w:rFonts w:eastAsia="Arial" w:cs="Arial"/>
          <w:szCs w:val="24"/>
        </w:rPr>
        <w:t xml:space="preserve">compartilhou sua experiência com o Programa de </w:t>
      </w:r>
      <w:r w:rsidRPr="008162CB">
        <w:rPr>
          <w:rFonts w:eastAsia="Arial" w:cs="Arial"/>
          <w:szCs w:val="24"/>
        </w:rPr>
        <w:lastRenderedPageBreak/>
        <w:t>Acompanhamento de Tecnologias em Saúde para medicament</w:t>
      </w:r>
      <w:r w:rsidR="006A71F9" w:rsidRPr="008162CB">
        <w:rPr>
          <w:rFonts w:eastAsia="Arial" w:cs="Arial"/>
          <w:szCs w:val="24"/>
        </w:rPr>
        <w:t xml:space="preserve">os de Atrofia Muscular Espinhal, conforme </w:t>
      </w:r>
      <w:r w:rsidR="008162CB">
        <w:rPr>
          <w:rFonts w:eastAsia="Arial" w:cs="Arial"/>
          <w:b/>
          <w:szCs w:val="24"/>
        </w:rPr>
        <w:t>Anexo XI</w:t>
      </w:r>
      <w:r w:rsidR="006A71F9" w:rsidRPr="008162CB">
        <w:rPr>
          <w:rFonts w:eastAsia="Arial" w:cs="Arial"/>
          <w:szCs w:val="24"/>
        </w:rPr>
        <w:t xml:space="preserve">, </w:t>
      </w:r>
      <w:r w:rsidRPr="008162CB">
        <w:rPr>
          <w:rFonts w:eastAsia="Arial" w:cs="Arial"/>
          <w:szCs w:val="24"/>
        </w:rPr>
        <w:t>e o Brasil apresentou o seu processo de incorporação pela CONITEC</w:t>
      </w:r>
      <w:r w:rsidR="006A71F9" w:rsidRPr="008162CB">
        <w:rPr>
          <w:rFonts w:eastAsia="Arial" w:cs="Arial"/>
          <w:szCs w:val="24"/>
        </w:rPr>
        <w:t xml:space="preserve">, conforme </w:t>
      </w:r>
      <w:r w:rsidR="008162CB">
        <w:rPr>
          <w:rFonts w:eastAsia="Arial" w:cs="Arial"/>
          <w:b/>
          <w:szCs w:val="24"/>
        </w:rPr>
        <w:t>Anexo XII</w:t>
      </w:r>
      <w:r w:rsidRPr="008162CB">
        <w:rPr>
          <w:rFonts w:eastAsia="Arial" w:cs="Arial"/>
          <w:szCs w:val="24"/>
        </w:rPr>
        <w:t>. O Uruguai informou que está com recente criação da Agência de Avaliação de Tecnologias Sanitárias (AETSU).</w:t>
      </w:r>
    </w:p>
    <w:p w14:paraId="23546F69" w14:textId="7E38B63F" w:rsidR="5D5BA42F" w:rsidRPr="00B35E78" w:rsidRDefault="007D0870" w:rsidP="7FD28433">
      <w:pPr>
        <w:pStyle w:val="Ttulo3"/>
        <w:spacing w:before="281" w:after="281"/>
        <w:jc w:val="both"/>
        <w:rPr>
          <w:rFonts w:eastAsia="Arial" w:cs="Arial"/>
          <w:color w:val="000000" w:themeColor="text1"/>
          <w:sz w:val="24"/>
          <w:szCs w:val="24"/>
        </w:rPr>
      </w:pPr>
      <w:r w:rsidRPr="008162CB">
        <w:rPr>
          <w:rFonts w:eastAsia="Arial" w:cs="Arial"/>
          <w:b/>
          <w:bCs/>
          <w:color w:val="000000" w:themeColor="text1"/>
          <w:sz w:val="24"/>
          <w:szCs w:val="24"/>
        </w:rPr>
        <w:t>2</w:t>
      </w:r>
      <w:r w:rsidR="7FD28433" w:rsidRPr="008162CB">
        <w:rPr>
          <w:rFonts w:eastAsia="Arial" w:cs="Arial"/>
          <w:b/>
          <w:bCs/>
          <w:color w:val="000000" w:themeColor="text1"/>
          <w:sz w:val="24"/>
          <w:szCs w:val="24"/>
        </w:rPr>
        <w:t xml:space="preserve">.3 </w:t>
      </w:r>
      <w:proofErr w:type="spellStart"/>
      <w:r w:rsidR="7FD28433" w:rsidRPr="00B35E78">
        <w:rPr>
          <w:rFonts w:eastAsia="Arial" w:cs="Arial"/>
          <w:color w:val="000000" w:themeColor="text1"/>
          <w:sz w:val="24"/>
          <w:szCs w:val="24"/>
        </w:rPr>
        <w:t>Consensuar</w:t>
      </w:r>
      <w:proofErr w:type="spellEnd"/>
      <w:r w:rsidR="7FD28433" w:rsidRPr="00B35E78">
        <w:rPr>
          <w:rFonts w:eastAsia="Arial" w:cs="Arial"/>
          <w:color w:val="000000" w:themeColor="text1"/>
          <w:sz w:val="24"/>
          <w:szCs w:val="24"/>
        </w:rPr>
        <w:t xml:space="preserve"> uma metodologia para a elaboração de listas de medicamentos essenciais para a região.</w:t>
      </w:r>
    </w:p>
    <w:p w14:paraId="4C0F3718" w14:textId="56740E73" w:rsidR="5D5BA42F" w:rsidRPr="004023C6" w:rsidRDefault="7FD28433" w:rsidP="7FD28433">
      <w:pPr>
        <w:pStyle w:val="PargrafodaLista"/>
        <w:numPr>
          <w:ilvl w:val="0"/>
          <w:numId w:val="1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Fazer um levantamento e análise comparativa das listas vigentes, identificando pontos de convergência e divergência.</w:t>
      </w:r>
    </w:p>
    <w:p w14:paraId="08B3C23B" w14:textId="08DACAE2" w:rsidR="5D5BA42F" w:rsidRPr="004023C6" w:rsidRDefault="7FD28433" w:rsidP="7FD28433">
      <w:pPr>
        <w:pStyle w:val="PargrafodaLista"/>
        <w:numPr>
          <w:ilvl w:val="0"/>
          <w:numId w:val="1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Identificar as metodologias para a seleção de medicamentos essenciais de cada Estado Parte.</w:t>
      </w:r>
    </w:p>
    <w:p w14:paraId="7BD9CE7E" w14:textId="2D7AF265" w:rsidR="5D5BA42F" w:rsidRPr="00B35E78" w:rsidRDefault="7FD28433" w:rsidP="7FD28433">
      <w:pPr>
        <w:pStyle w:val="PargrafodaLista"/>
        <w:numPr>
          <w:ilvl w:val="0"/>
          <w:numId w:val="1"/>
        </w:numPr>
        <w:spacing w:before="240" w:after="240"/>
        <w:jc w:val="both"/>
        <w:rPr>
          <w:rFonts w:eastAsia="Arial" w:cs="Arial"/>
          <w:szCs w:val="24"/>
        </w:rPr>
      </w:pPr>
      <w:r w:rsidRPr="004023C6">
        <w:rPr>
          <w:rFonts w:eastAsia="Arial" w:cs="Arial"/>
          <w:szCs w:val="24"/>
        </w:rPr>
        <w:t>Propor critérios para a elaboração das listas de medicamentos essenciais, como eficácia, segurança</w:t>
      </w:r>
      <w:r w:rsidRPr="00B35E78">
        <w:rPr>
          <w:rFonts w:eastAsia="Arial" w:cs="Arial"/>
          <w:szCs w:val="24"/>
        </w:rPr>
        <w:t>, relevância para a saúde pública, custo-efetividade, disponibilidade de genéricos e impacto no orçamento.</w:t>
      </w:r>
    </w:p>
    <w:p w14:paraId="075A99D4" w14:textId="6F596265" w:rsidR="5D5BA42F" w:rsidRPr="008162CB" w:rsidRDefault="7FD28433" w:rsidP="7FD28433">
      <w:pPr>
        <w:spacing w:before="240" w:after="240"/>
        <w:jc w:val="both"/>
        <w:rPr>
          <w:rFonts w:cs="Arial"/>
          <w:szCs w:val="24"/>
        </w:rPr>
      </w:pPr>
      <w:r w:rsidRPr="00B35E78">
        <w:rPr>
          <w:rFonts w:eastAsia="Arial" w:cs="Arial"/>
          <w:b/>
          <w:bCs/>
          <w:szCs w:val="24"/>
        </w:rPr>
        <w:t>Resumo da Discussão</w:t>
      </w:r>
    </w:p>
    <w:p w14:paraId="5F34DF27" w14:textId="0A61B995" w:rsidR="00B35E78" w:rsidRDefault="7FD28433" w:rsidP="00B35E78">
      <w:pPr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 xml:space="preserve">Foi apresentado um estado de situação das listas vigentes dos países participantes: a Relação Nacional de Medicamentos </w:t>
      </w:r>
      <w:r w:rsidRPr="004023C6">
        <w:rPr>
          <w:rFonts w:eastAsia="Arial" w:cs="Arial"/>
          <w:szCs w:val="24"/>
        </w:rPr>
        <w:t>Essenciais (RENAME)</w:t>
      </w:r>
      <w:r w:rsidRPr="008162CB">
        <w:rPr>
          <w:rFonts w:eastAsia="Arial" w:cs="Arial"/>
          <w:szCs w:val="24"/>
        </w:rPr>
        <w:t xml:space="preserve"> no Brasil, o Formulário Terapêutico Nacional no Uruguai e a Lista de Medicamentos Essenciais para o nível de atenção primária em saúde (APS) na Argentina. O Brasil detalhou a composição da RENAME, abordando os diferentes componentes da assistência farmacêutica (básico, estratégico e especializado).</w:t>
      </w:r>
    </w:p>
    <w:p w14:paraId="7C7360C5" w14:textId="77777777" w:rsidR="00B35E78" w:rsidRDefault="00B35E78" w:rsidP="00B35E78">
      <w:pPr>
        <w:jc w:val="both"/>
        <w:rPr>
          <w:rFonts w:eastAsia="Arial" w:cs="Arial"/>
          <w:szCs w:val="24"/>
        </w:rPr>
      </w:pPr>
    </w:p>
    <w:p w14:paraId="4F8034EA" w14:textId="77777777" w:rsidR="00B35E78" w:rsidRPr="00B35E78" w:rsidRDefault="00B35E78" w:rsidP="00B35E78">
      <w:pPr>
        <w:jc w:val="both"/>
        <w:rPr>
          <w:rFonts w:eastAsia="Arial" w:cs="Arial"/>
          <w:szCs w:val="24"/>
        </w:rPr>
      </w:pPr>
    </w:p>
    <w:p w14:paraId="173FAD01" w14:textId="258CAA5C" w:rsidR="5D5BA42F" w:rsidRPr="004023C6" w:rsidRDefault="7FD28433" w:rsidP="004023C6">
      <w:pPr>
        <w:jc w:val="both"/>
        <w:rPr>
          <w:rFonts w:cs="Arial"/>
          <w:b/>
          <w:bCs/>
          <w:szCs w:val="24"/>
        </w:rPr>
      </w:pPr>
      <w:r w:rsidRPr="004023C6">
        <w:rPr>
          <w:rFonts w:eastAsiaTheme="minorEastAsia" w:cs="Arial"/>
          <w:b/>
          <w:bCs/>
          <w:szCs w:val="24"/>
        </w:rPr>
        <w:t>OUTROS TEMAS ABORDADOS</w:t>
      </w:r>
    </w:p>
    <w:p w14:paraId="4A4A05A7" w14:textId="0B66EA85" w:rsidR="5D5BA42F" w:rsidRPr="008162CB" w:rsidRDefault="5D5BA42F" w:rsidP="7FD28433">
      <w:pPr>
        <w:pStyle w:val="PargrafodaLista"/>
        <w:jc w:val="both"/>
        <w:rPr>
          <w:rFonts w:cs="Arial"/>
          <w:b/>
          <w:bCs/>
          <w:szCs w:val="24"/>
        </w:rPr>
      </w:pPr>
    </w:p>
    <w:p w14:paraId="2C540EC6" w14:textId="720ABF43" w:rsidR="00A82D93" w:rsidRPr="008162CB" w:rsidRDefault="004023C6" w:rsidP="7FD28433">
      <w:pPr>
        <w:jc w:val="both"/>
        <w:rPr>
          <w:rFonts w:eastAsia="Arial" w:cs="Arial"/>
          <w:szCs w:val="24"/>
        </w:rPr>
      </w:pPr>
      <w:r>
        <w:rPr>
          <w:rFonts w:eastAsia="Arial" w:cs="Arial"/>
          <w:szCs w:val="24"/>
        </w:rPr>
        <w:t>As delegações</w:t>
      </w:r>
      <w:r w:rsidR="7FD28433" w:rsidRPr="008162CB">
        <w:rPr>
          <w:rFonts w:eastAsia="Arial" w:cs="Arial"/>
          <w:szCs w:val="24"/>
        </w:rPr>
        <w:t xml:space="preserve"> apresentaram o funciona</w:t>
      </w:r>
      <w:r w:rsidR="006A71F9" w:rsidRPr="008162CB">
        <w:rPr>
          <w:rFonts w:eastAsia="Arial" w:cs="Arial"/>
          <w:szCs w:val="24"/>
        </w:rPr>
        <w:t>mento</w:t>
      </w:r>
      <w:r w:rsidR="7FD28433" w:rsidRPr="008162CB">
        <w:rPr>
          <w:rFonts w:eastAsia="Arial" w:cs="Arial"/>
          <w:szCs w:val="24"/>
        </w:rPr>
        <w:t xml:space="preserve"> </w:t>
      </w:r>
      <w:r w:rsidR="006A71F9" w:rsidRPr="008162CB">
        <w:rPr>
          <w:rFonts w:eastAsia="Arial" w:cs="Arial"/>
          <w:szCs w:val="24"/>
        </w:rPr>
        <w:t>d</w:t>
      </w:r>
      <w:r w:rsidR="7FD28433" w:rsidRPr="008162CB">
        <w:rPr>
          <w:rFonts w:eastAsia="Arial" w:cs="Arial"/>
          <w:szCs w:val="24"/>
        </w:rPr>
        <w:t>o</w:t>
      </w:r>
      <w:r w:rsidR="006A71F9" w:rsidRPr="008162CB">
        <w:rPr>
          <w:rFonts w:eastAsia="Arial" w:cs="Arial"/>
          <w:szCs w:val="24"/>
        </w:rPr>
        <w:t>s</w:t>
      </w:r>
      <w:r w:rsidR="7FD28433" w:rsidRPr="008162CB">
        <w:rPr>
          <w:rFonts w:eastAsia="Arial" w:cs="Arial"/>
          <w:szCs w:val="24"/>
        </w:rPr>
        <w:t xml:space="preserve"> sistema</w:t>
      </w:r>
      <w:r w:rsidR="006A71F9" w:rsidRPr="008162CB">
        <w:rPr>
          <w:rFonts w:eastAsia="Arial" w:cs="Arial"/>
          <w:szCs w:val="24"/>
        </w:rPr>
        <w:t>s</w:t>
      </w:r>
      <w:r w:rsidR="7FD28433" w:rsidRPr="008162CB">
        <w:rPr>
          <w:rFonts w:eastAsia="Arial" w:cs="Arial"/>
          <w:szCs w:val="24"/>
        </w:rPr>
        <w:t xml:space="preserve"> de saúde de maneira individual, </w:t>
      </w:r>
      <w:r w:rsidR="006A71F9" w:rsidRPr="008162CB">
        <w:rPr>
          <w:rFonts w:eastAsia="Arial" w:cs="Arial"/>
          <w:szCs w:val="24"/>
        </w:rPr>
        <w:t xml:space="preserve">conforme: </w:t>
      </w:r>
      <w:r w:rsidR="008162CB" w:rsidRPr="008162CB">
        <w:rPr>
          <w:rFonts w:eastAsia="Arial" w:cs="Arial"/>
          <w:b/>
          <w:szCs w:val="24"/>
        </w:rPr>
        <w:t>Anexo</w:t>
      </w:r>
      <w:r w:rsidR="006A71F9" w:rsidRPr="008162CB">
        <w:rPr>
          <w:rFonts w:eastAsia="Arial" w:cs="Arial"/>
          <w:b/>
          <w:szCs w:val="24"/>
        </w:rPr>
        <w:t xml:space="preserve"> IV</w:t>
      </w:r>
      <w:r w:rsidR="006A71F9" w:rsidRPr="008162CB">
        <w:rPr>
          <w:rFonts w:eastAsia="Arial" w:cs="Arial"/>
          <w:szCs w:val="24"/>
        </w:rPr>
        <w:t xml:space="preserve"> (Brasil); </w:t>
      </w:r>
      <w:r w:rsidR="008162CB">
        <w:rPr>
          <w:rFonts w:eastAsia="Arial" w:cs="Arial"/>
          <w:b/>
          <w:szCs w:val="24"/>
        </w:rPr>
        <w:t>Anexo</w:t>
      </w:r>
      <w:r w:rsidR="006A71F9" w:rsidRPr="008162CB">
        <w:rPr>
          <w:rFonts w:eastAsia="Arial" w:cs="Arial"/>
          <w:b/>
          <w:szCs w:val="24"/>
        </w:rPr>
        <w:t xml:space="preserve"> V</w:t>
      </w:r>
      <w:r w:rsidR="006A71F9" w:rsidRPr="008162CB">
        <w:rPr>
          <w:rFonts w:eastAsia="Arial" w:cs="Arial"/>
          <w:szCs w:val="24"/>
        </w:rPr>
        <w:t xml:space="preserve"> (Argentina); e </w:t>
      </w:r>
      <w:r w:rsidR="008162CB">
        <w:rPr>
          <w:rFonts w:eastAsia="Arial" w:cs="Arial"/>
          <w:b/>
          <w:szCs w:val="24"/>
        </w:rPr>
        <w:t>Anexo</w:t>
      </w:r>
      <w:r w:rsidR="006A71F9" w:rsidRPr="008162CB">
        <w:rPr>
          <w:rFonts w:eastAsia="Arial" w:cs="Arial"/>
          <w:szCs w:val="24"/>
        </w:rPr>
        <w:t xml:space="preserve"> </w:t>
      </w:r>
      <w:r w:rsidR="006A71F9" w:rsidRPr="008162CB">
        <w:rPr>
          <w:rFonts w:eastAsia="Arial" w:cs="Arial"/>
          <w:b/>
          <w:szCs w:val="24"/>
        </w:rPr>
        <w:t>VI</w:t>
      </w:r>
      <w:r w:rsidR="006A71F9" w:rsidRPr="008162CB">
        <w:rPr>
          <w:rFonts w:eastAsia="Arial" w:cs="Arial"/>
          <w:szCs w:val="24"/>
        </w:rPr>
        <w:t xml:space="preserve"> (Uruguai), </w:t>
      </w:r>
      <w:r w:rsidR="7FD28433" w:rsidRPr="008162CB">
        <w:rPr>
          <w:rFonts w:eastAsia="Arial" w:cs="Arial"/>
          <w:szCs w:val="24"/>
        </w:rPr>
        <w:t>assim como apresentaram o sistema de compras públicas</w:t>
      </w:r>
      <w:r w:rsidR="006A71F9" w:rsidRPr="008162CB">
        <w:rPr>
          <w:rFonts w:eastAsia="Arial" w:cs="Arial"/>
          <w:szCs w:val="24"/>
        </w:rPr>
        <w:t xml:space="preserve">, constante do </w:t>
      </w:r>
      <w:r w:rsidR="008162CB">
        <w:rPr>
          <w:rFonts w:eastAsia="Arial" w:cs="Arial"/>
          <w:b/>
          <w:szCs w:val="24"/>
        </w:rPr>
        <w:t>Anexo</w:t>
      </w:r>
      <w:r w:rsidR="006A71F9" w:rsidRPr="008162CB">
        <w:rPr>
          <w:rFonts w:eastAsia="Arial" w:cs="Arial"/>
          <w:szCs w:val="24"/>
        </w:rPr>
        <w:t xml:space="preserve"> </w:t>
      </w:r>
      <w:r w:rsidR="006A71F9" w:rsidRPr="008162CB">
        <w:rPr>
          <w:rFonts w:eastAsia="Arial" w:cs="Arial"/>
          <w:b/>
          <w:szCs w:val="24"/>
        </w:rPr>
        <w:t>VII</w:t>
      </w:r>
      <w:r w:rsidR="7FD28433" w:rsidRPr="008162CB">
        <w:rPr>
          <w:rFonts w:eastAsia="Arial" w:cs="Arial"/>
          <w:szCs w:val="24"/>
        </w:rPr>
        <w:t xml:space="preserve"> (Uruguai), o Programa Farmácia Popular do Brasil</w:t>
      </w:r>
      <w:r w:rsidR="006A71F9" w:rsidRPr="008162CB">
        <w:rPr>
          <w:rFonts w:eastAsia="Arial" w:cs="Arial"/>
          <w:szCs w:val="24"/>
        </w:rPr>
        <w:t xml:space="preserve"> </w:t>
      </w:r>
      <w:r w:rsidR="006A71F9" w:rsidRPr="004023C6">
        <w:rPr>
          <w:rFonts w:eastAsia="Arial" w:cs="Arial"/>
          <w:b/>
          <w:bCs/>
          <w:szCs w:val="24"/>
        </w:rPr>
        <w:t>(</w:t>
      </w:r>
      <w:r w:rsidR="008162CB" w:rsidRPr="004023C6">
        <w:rPr>
          <w:rFonts w:eastAsia="Arial" w:cs="Arial"/>
          <w:b/>
          <w:bCs/>
          <w:szCs w:val="24"/>
        </w:rPr>
        <w:t>Anexo</w:t>
      </w:r>
      <w:r w:rsidR="006A71F9" w:rsidRPr="004023C6">
        <w:rPr>
          <w:rFonts w:eastAsia="Arial" w:cs="Arial"/>
          <w:b/>
          <w:bCs/>
          <w:szCs w:val="24"/>
        </w:rPr>
        <w:t xml:space="preserve"> VIII)</w:t>
      </w:r>
      <w:r w:rsidR="7FD28433" w:rsidRPr="004023C6">
        <w:rPr>
          <w:rFonts w:eastAsia="Arial" w:cs="Arial"/>
          <w:szCs w:val="24"/>
        </w:rPr>
        <w:t>,</w:t>
      </w:r>
      <w:r w:rsidR="7FD28433" w:rsidRPr="008162CB">
        <w:rPr>
          <w:rFonts w:eastAsia="Arial" w:cs="Arial"/>
          <w:szCs w:val="24"/>
        </w:rPr>
        <w:t xml:space="preserve"> as diretrizes nacionais para o cuidado farmacêutico no SUS (Brasil) </w:t>
      </w:r>
      <w:r w:rsidR="006A71F9" w:rsidRPr="004023C6">
        <w:rPr>
          <w:rFonts w:eastAsia="Arial" w:cs="Arial"/>
          <w:b/>
          <w:bCs/>
          <w:szCs w:val="24"/>
        </w:rPr>
        <w:t>(</w:t>
      </w:r>
      <w:r w:rsidR="008162CB" w:rsidRPr="004023C6">
        <w:rPr>
          <w:rFonts w:eastAsia="Arial" w:cs="Arial"/>
          <w:b/>
          <w:bCs/>
          <w:szCs w:val="24"/>
        </w:rPr>
        <w:t>Anexo</w:t>
      </w:r>
      <w:r w:rsidR="006A71F9" w:rsidRPr="004023C6">
        <w:rPr>
          <w:rFonts w:eastAsia="Arial" w:cs="Arial"/>
          <w:b/>
          <w:bCs/>
          <w:szCs w:val="24"/>
        </w:rPr>
        <w:t xml:space="preserve"> IX</w:t>
      </w:r>
      <w:r w:rsidR="00A82D93" w:rsidRPr="004023C6">
        <w:rPr>
          <w:rFonts w:eastAsia="Arial" w:cs="Arial"/>
          <w:b/>
          <w:bCs/>
          <w:szCs w:val="24"/>
        </w:rPr>
        <w:t>)</w:t>
      </w:r>
      <w:r w:rsidR="00A82D93" w:rsidRPr="004023C6">
        <w:rPr>
          <w:rFonts w:eastAsia="Arial" w:cs="Arial"/>
          <w:szCs w:val="24"/>
        </w:rPr>
        <w:t>,</w:t>
      </w:r>
      <w:r w:rsidR="00A82D93">
        <w:rPr>
          <w:rFonts w:eastAsia="Arial" w:cs="Arial"/>
          <w:szCs w:val="24"/>
        </w:rPr>
        <w:t xml:space="preserve"> </w:t>
      </w:r>
      <w:r w:rsidR="7FD28433" w:rsidRPr="008162CB">
        <w:rPr>
          <w:rFonts w:eastAsia="Arial" w:cs="Arial"/>
          <w:szCs w:val="24"/>
        </w:rPr>
        <w:t>sistemas de informação digi</w:t>
      </w:r>
      <w:r w:rsidR="006A71F9" w:rsidRPr="008162CB">
        <w:rPr>
          <w:rFonts w:eastAsia="Arial" w:cs="Arial"/>
          <w:szCs w:val="24"/>
        </w:rPr>
        <w:t xml:space="preserve">tal na Assistência Farmacêutica, conforme </w:t>
      </w:r>
      <w:r w:rsidR="008162CB">
        <w:rPr>
          <w:rFonts w:eastAsia="Arial" w:cs="Arial"/>
          <w:b/>
          <w:szCs w:val="24"/>
        </w:rPr>
        <w:t>Anexo</w:t>
      </w:r>
      <w:r w:rsidR="006A71F9" w:rsidRPr="008162CB">
        <w:rPr>
          <w:rFonts w:eastAsia="Arial" w:cs="Arial"/>
          <w:szCs w:val="24"/>
        </w:rPr>
        <w:t xml:space="preserve"> </w:t>
      </w:r>
      <w:r w:rsidR="006A71F9" w:rsidRPr="008162CB">
        <w:rPr>
          <w:rFonts w:eastAsia="Arial" w:cs="Arial"/>
          <w:b/>
          <w:szCs w:val="24"/>
        </w:rPr>
        <w:t>X</w:t>
      </w:r>
      <w:r w:rsidR="006A71F9" w:rsidRPr="008162CB">
        <w:rPr>
          <w:rFonts w:eastAsia="Arial" w:cs="Arial"/>
          <w:szCs w:val="24"/>
        </w:rPr>
        <w:t xml:space="preserve"> </w:t>
      </w:r>
      <w:r w:rsidR="00A82D93">
        <w:rPr>
          <w:rFonts w:eastAsia="Arial" w:cs="Arial"/>
          <w:szCs w:val="24"/>
        </w:rPr>
        <w:t xml:space="preserve">(Brasil), os componentes  básico </w:t>
      </w:r>
      <w:r w:rsidR="00A82D93" w:rsidRPr="004023C6">
        <w:rPr>
          <w:rFonts w:eastAsia="Arial" w:cs="Arial"/>
          <w:b/>
          <w:bCs/>
          <w:szCs w:val="24"/>
        </w:rPr>
        <w:t>(Anexo XIII)</w:t>
      </w:r>
      <w:r w:rsidR="00A82D93">
        <w:rPr>
          <w:rFonts w:eastAsia="Arial" w:cs="Arial"/>
          <w:szCs w:val="24"/>
        </w:rPr>
        <w:t xml:space="preserve">, estratégico </w:t>
      </w:r>
      <w:r w:rsidR="00A82D93" w:rsidRPr="004023C6">
        <w:rPr>
          <w:rFonts w:eastAsia="Arial" w:cs="Arial"/>
          <w:b/>
          <w:bCs/>
          <w:szCs w:val="24"/>
        </w:rPr>
        <w:t>(Anexo XIV)</w:t>
      </w:r>
      <w:r w:rsidR="00A82D93">
        <w:rPr>
          <w:rFonts w:eastAsia="Arial" w:cs="Arial"/>
          <w:szCs w:val="24"/>
        </w:rPr>
        <w:t xml:space="preserve"> e especializado </w:t>
      </w:r>
      <w:r w:rsidR="00A82D93" w:rsidRPr="004023C6">
        <w:rPr>
          <w:rFonts w:eastAsia="Arial" w:cs="Arial"/>
          <w:b/>
          <w:bCs/>
          <w:szCs w:val="24"/>
        </w:rPr>
        <w:t>(</w:t>
      </w:r>
      <w:r w:rsidR="00A82D93">
        <w:rPr>
          <w:rFonts w:eastAsia="Arial" w:cs="Arial"/>
          <w:b/>
          <w:szCs w:val="24"/>
        </w:rPr>
        <w:t>Anexo X</w:t>
      </w:r>
      <w:r w:rsidR="00A82D93" w:rsidRPr="00A82D93">
        <w:rPr>
          <w:rFonts w:eastAsia="Arial" w:cs="Arial"/>
          <w:b/>
          <w:szCs w:val="24"/>
        </w:rPr>
        <w:t>V</w:t>
      </w:r>
      <w:r w:rsidR="00A82D93" w:rsidRPr="004023C6">
        <w:rPr>
          <w:rFonts w:eastAsia="Arial" w:cs="Arial"/>
          <w:b/>
          <w:bCs/>
          <w:szCs w:val="24"/>
        </w:rPr>
        <w:t>)</w:t>
      </w:r>
      <w:r w:rsidR="00A82D93">
        <w:rPr>
          <w:rFonts w:eastAsia="Arial" w:cs="Arial"/>
          <w:szCs w:val="24"/>
        </w:rPr>
        <w:t xml:space="preserve"> da assistência farmacêutica do Brasil.</w:t>
      </w:r>
    </w:p>
    <w:p w14:paraId="405C8EB8" w14:textId="6A51E60B" w:rsidR="5D5BA42F" w:rsidRPr="008162CB" w:rsidRDefault="5D5BA42F" w:rsidP="7FD28433">
      <w:pPr>
        <w:jc w:val="both"/>
        <w:rPr>
          <w:rFonts w:eastAsia="Arial" w:cs="Arial"/>
          <w:szCs w:val="24"/>
        </w:rPr>
      </w:pPr>
    </w:p>
    <w:p w14:paraId="0AE2032C" w14:textId="40983AF3" w:rsidR="5D5BA42F" w:rsidRPr="008162CB" w:rsidRDefault="7FD28433" w:rsidP="7FD28433">
      <w:pPr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 xml:space="preserve">A reunião reafirma a importância estratégica de implementação do Programa de Trabalho do Período (2025/2026) para a CIPM e ao mesmo tempo verifica-se de maneira consensual a necessidade do fortalecimento da CIPM. </w:t>
      </w:r>
    </w:p>
    <w:p w14:paraId="5EEBA6F1" w14:textId="02D96710" w:rsidR="5D5BA42F" w:rsidRPr="008162CB" w:rsidRDefault="7FD28433" w:rsidP="7FD28433">
      <w:pPr>
        <w:spacing w:before="240" w:after="240"/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 xml:space="preserve">O entendimento consensual é de organizar um calendário de reuniões virtuais e presenciais contemplando o período de 2025/2026, permitindo o desenvolvimento e implementação do PTP (2025/2026). </w:t>
      </w:r>
    </w:p>
    <w:p w14:paraId="2308161D" w14:textId="1F46213B" w:rsidR="5D5BA42F" w:rsidRDefault="7FD28433" w:rsidP="00B35E78">
      <w:pPr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>Ao mesmo tempo as reuniões darão oportunidade de revisitar o PTP (2025/2026) e ajustá-lo a partir das discussões e incorporação de temas surgidos a partir do entendimento consensual d</w:t>
      </w:r>
      <w:r w:rsidR="00265E9E">
        <w:rPr>
          <w:rFonts w:eastAsia="Arial" w:cs="Arial"/>
          <w:szCs w:val="24"/>
        </w:rPr>
        <w:t>a</w:t>
      </w:r>
      <w:r w:rsidRPr="008162CB">
        <w:rPr>
          <w:rFonts w:eastAsia="Arial" w:cs="Arial"/>
          <w:szCs w:val="24"/>
        </w:rPr>
        <w:t xml:space="preserve">s </w:t>
      </w:r>
      <w:r w:rsidR="00265E9E">
        <w:rPr>
          <w:rFonts w:eastAsia="Arial" w:cs="Arial"/>
          <w:szCs w:val="24"/>
        </w:rPr>
        <w:t>delegações</w:t>
      </w:r>
      <w:r w:rsidRPr="008162CB">
        <w:rPr>
          <w:rFonts w:eastAsia="Arial" w:cs="Arial"/>
          <w:szCs w:val="24"/>
        </w:rPr>
        <w:t xml:space="preserve"> desta CIPM. </w:t>
      </w:r>
    </w:p>
    <w:p w14:paraId="76B4689F" w14:textId="77777777" w:rsidR="00B35E78" w:rsidRDefault="00B35E78" w:rsidP="00B35E78">
      <w:pPr>
        <w:jc w:val="both"/>
        <w:rPr>
          <w:rFonts w:eastAsia="Arial" w:cs="Arial"/>
          <w:szCs w:val="24"/>
        </w:rPr>
      </w:pPr>
    </w:p>
    <w:p w14:paraId="69F933FE" w14:textId="77777777" w:rsidR="00B35E78" w:rsidRPr="008162CB" w:rsidRDefault="00B35E78" w:rsidP="00B35E78">
      <w:pPr>
        <w:jc w:val="both"/>
        <w:rPr>
          <w:rFonts w:eastAsia="Arial" w:cs="Arial"/>
          <w:szCs w:val="24"/>
        </w:rPr>
      </w:pPr>
    </w:p>
    <w:p w14:paraId="60737502" w14:textId="55AA07AC" w:rsidR="0077517E" w:rsidRPr="008162CB" w:rsidRDefault="7FD28433" w:rsidP="0077517E">
      <w:pPr>
        <w:jc w:val="both"/>
        <w:rPr>
          <w:rFonts w:cs="Arial"/>
          <w:b/>
          <w:bCs/>
          <w:szCs w:val="24"/>
        </w:rPr>
      </w:pPr>
      <w:r w:rsidRPr="008162CB">
        <w:rPr>
          <w:rFonts w:cs="Arial"/>
          <w:b/>
          <w:bCs/>
          <w:szCs w:val="24"/>
        </w:rPr>
        <w:lastRenderedPageBreak/>
        <w:t xml:space="preserve">PRÓXIMA REUNIÃO </w:t>
      </w:r>
    </w:p>
    <w:p w14:paraId="4EF7507E" w14:textId="545BCE1D" w:rsidR="0077517E" w:rsidRPr="008162CB" w:rsidRDefault="7FD28433" w:rsidP="7FD28433">
      <w:pPr>
        <w:spacing w:before="240" w:after="240"/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 xml:space="preserve">Reunião virtual a ser realizada em </w:t>
      </w:r>
      <w:r w:rsidR="004023C6">
        <w:rPr>
          <w:rFonts w:eastAsia="Arial" w:cs="Arial"/>
          <w:szCs w:val="24"/>
        </w:rPr>
        <w:t>o</w:t>
      </w:r>
      <w:r w:rsidRPr="008162CB">
        <w:rPr>
          <w:rFonts w:eastAsia="Arial" w:cs="Arial"/>
          <w:szCs w:val="24"/>
        </w:rPr>
        <w:t xml:space="preserve">utubro de 2025, com a seguinte </w:t>
      </w:r>
      <w:proofErr w:type="spellStart"/>
      <w:r w:rsidRPr="008162CB">
        <w:rPr>
          <w:rFonts w:eastAsia="Arial" w:cs="Arial"/>
          <w:szCs w:val="24"/>
        </w:rPr>
        <w:t>pré</w:t>
      </w:r>
      <w:proofErr w:type="spellEnd"/>
      <w:r w:rsidRPr="008162CB">
        <w:rPr>
          <w:rFonts w:eastAsia="Arial" w:cs="Arial"/>
          <w:szCs w:val="24"/>
        </w:rPr>
        <w:t>-pauta:</w:t>
      </w:r>
    </w:p>
    <w:p w14:paraId="79412E1E" w14:textId="7D121995" w:rsidR="0077517E" w:rsidRPr="008162CB" w:rsidRDefault="7FD28433" w:rsidP="7FD28433">
      <w:pPr>
        <w:spacing w:before="240" w:after="240"/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>* Definições de prazos e responsáveis para a execução de pontos do PTP (2025/2026);</w:t>
      </w:r>
    </w:p>
    <w:p w14:paraId="2F06436E" w14:textId="1E423FEC" w:rsidR="0077517E" w:rsidRPr="008162CB" w:rsidRDefault="7FD28433" w:rsidP="7FD28433">
      <w:pPr>
        <w:spacing w:before="240" w:after="240"/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>* Incorporação de novos temas consensuais no PTP (2025/2026);</w:t>
      </w:r>
    </w:p>
    <w:p w14:paraId="6756D78A" w14:textId="754A32B6" w:rsidR="0077517E" w:rsidRPr="008162CB" w:rsidRDefault="7FD28433" w:rsidP="7FD28433">
      <w:pPr>
        <w:jc w:val="both"/>
        <w:rPr>
          <w:rFonts w:eastAsia="Arial" w:cs="Arial"/>
          <w:szCs w:val="24"/>
        </w:rPr>
      </w:pPr>
      <w:r w:rsidRPr="008162CB">
        <w:rPr>
          <w:rFonts w:eastAsia="Arial" w:cs="Arial"/>
          <w:szCs w:val="24"/>
        </w:rPr>
        <w:t>* Aprovação do calendário de reuniões 2025-2026.</w:t>
      </w:r>
    </w:p>
    <w:p w14:paraId="37385911" w14:textId="3E4053D3" w:rsidR="0077517E" w:rsidRPr="008162CB" w:rsidRDefault="0077517E" w:rsidP="0077517E">
      <w:pPr>
        <w:jc w:val="both"/>
        <w:rPr>
          <w:rFonts w:cs="Arial"/>
          <w:szCs w:val="24"/>
        </w:rPr>
      </w:pPr>
    </w:p>
    <w:p w14:paraId="64233A76" w14:textId="77777777" w:rsidR="0077517E" w:rsidRPr="008162CB" w:rsidRDefault="0077517E" w:rsidP="0077517E">
      <w:pPr>
        <w:jc w:val="both"/>
        <w:rPr>
          <w:rFonts w:cs="Arial"/>
          <w:szCs w:val="24"/>
        </w:rPr>
      </w:pPr>
    </w:p>
    <w:p w14:paraId="68FC55C3" w14:textId="51AB2126" w:rsidR="0077517E" w:rsidRPr="008162CB" w:rsidRDefault="0077517E" w:rsidP="0077517E">
      <w:pPr>
        <w:jc w:val="both"/>
        <w:rPr>
          <w:rFonts w:cs="Arial"/>
          <w:b/>
          <w:bCs/>
          <w:szCs w:val="24"/>
        </w:rPr>
      </w:pPr>
      <w:r w:rsidRPr="008162CB">
        <w:rPr>
          <w:rFonts w:cs="Arial"/>
          <w:b/>
          <w:bCs/>
          <w:szCs w:val="24"/>
        </w:rPr>
        <w:t xml:space="preserve">LISTA DE ANEXOS </w:t>
      </w:r>
    </w:p>
    <w:p w14:paraId="4FD64703" w14:textId="77777777" w:rsidR="0077517E" w:rsidRPr="008162CB" w:rsidRDefault="0077517E" w:rsidP="0077517E">
      <w:pPr>
        <w:jc w:val="both"/>
        <w:rPr>
          <w:rFonts w:cs="Arial"/>
          <w:b/>
          <w:bCs/>
          <w:szCs w:val="24"/>
        </w:rPr>
      </w:pPr>
    </w:p>
    <w:p w14:paraId="45890745" w14:textId="0F96A6EA" w:rsidR="0077517E" w:rsidRPr="008162CB" w:rsidRDefault="0077517E" w:rsidP="0077517E">
      <w:pPr>
        <w:jc w:val="both"/>
        <w:rPr>
          <w:rFonts w:cs="Arial"/>
          <w:szCs w:val="24"/>
        </w:rPr>
      </w:pPr>
      <w:r w:rsidRPr="008162CB">
        <w:rPr>
          <w:rFonts w:cs="Arial"/>
          <w:szCs w:val="24"/>
        </w:rPr>
        <w:t xml:space="preserve">Os Anexos que fazem parte da presente Ata são os seguintes: </w:t>
      </w:r>
    </w:p>
    <w:p w14:paraId="4DC125F2" w14:textId="77777777" w:rsidR="00C375C6" w:rsidRPr="008162CB" w:rsidRDefault="00C375C6" w:rsidP="0077517E">
      <w:pPr>
        <w:jc w:val="both"/>
        <w:rPr>
          <w:rFonts w:cs="Arial"/>
          <w:szCs w:val="24"/>
        </w:rPr>
      </w:pPr>
    </w:p>
    <w:tbl>
      <w:tblPr>
        <w:tblW w:w="851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7087"/>
      </w:tblGrid>
      <w:tr w:rsidR="00C375C6" w:rsidRPr="008162CB" w14:paraId="5A38085B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C9988" w14:textId="77777777" w:rsidR="00C375C6" w:rsidRPr="008162CB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AB113" w14:textId="77777777" w:rsidR="00C375C6" w:rsidRPr="008162CB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8162CB">
              <w:rPr>
                <w:rFonts w:eastAsia="Arial" w:cs="Arial"/>
                <w:szCs w:val="24"/>
              </w:rPr>
              <w:t>Lista de Participantes</w:t>
            </w:r>
          </w:p>
        </w:tc>
      </w:tr>
      <w:tr w:rsidR="00C375C6" w:rsidRPr="008162CB" w14:paraId="05F3B1A2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7ED3" w14:textId="77777777" w:rsidR="00C375C6" w:rsidRPr="008162CB" w:rsidRDefault="00C375C6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F307C" w14:textId="730C1DAA" w:rsidR="00C375C6" w:rsidRPr="008162CB" w:rsidRDefault="5C5D7FA0" w:rsidP="5C5D7FA0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8162CB">
              <w:rPr>
                <w:rFonts w:eastAsia="Arial" w:cs="Arial"/>
                <w:szCs w:val="24"/>
              </w:rPr>
              <w:t>Agenda da reunião</w:t>
            </w:r>
          </w:p>
        </w:tc>
      </w:tr>
      <w:tr w:rsidR="00C375C6" w:rsidRPr="008162CB" w14:paraId="0B1DB3A4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4A3F" w14:textId="77777777" w:rsidR="00C375C6" w:rsidRPr="008162CB" w:rsidRDefault="00C375C6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74E25" w14:textId="0E6BEFBD" w:rsidR="00C375C6" w:rsidRPr="008162CB" w:rsidRDefault="00C84B01" w:rsidP="00C375C6">
            <w:pPr>
              <w:ind w:hanging="2"/>
              <w:jc w:val="both"/>
              <w:rPr>
                <w:rFonts w:eastAsia="Arial" w:cs="Arial"/>
                <w:szCs w:val="24"/>
              </w:rPr>
            </w:pPr>
            <w:r w:rsidRPr="008162CB">
              <w:rPr>
                <w:rFonts w:cs="Arial"/>
                <w:szCs w:val="24"/>
              </w:rPr>
              <w:t>Relatório Semestral sobre o grau de Avanço do Programa de Trabalho do Período 2025-2026</w:t>
            </w:r>
          </w:p>
        </w:tc>
      </w:tr>
      <w:tr w:rsidR="00D32660" w:rsidRPr="008162CB" w14:paraId="02A26108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8E42B" w14:textId="77C0C824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0E61" w14:textId="735C6AA6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Sistema de Saúde do Brasil</w:t>
            </w:r>
          </w:p>
        </w:tc>
      </w:tr>
      <w:tr w:rsidR="00D32660" w:rsidRPr="008162CB" w14:paraId="72353D74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ADF7" w14:textId="0B028594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9CA6" w14:textId="76389303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Sistema de Saúde da Argentina</w:t>
            </w:r>
          </w:p>
        </w:tc>
      </w:tr>
      <w:tr w:rsidR="00D32660" w:rsidRPr="008162CB" w14:paraId="6D537CBD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6749" w14:textId="6E420313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VI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E34FB" w14:textId="2F1D4A3B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Sistema de Saúde do Uruguai</w:t>
            </w:r>
          </w:p>
        </w:tc>
      </w:tr>
      <w:tr w:rsidR="00D32660" w:rsidRPr="008162CB" w14:paraId="504B78FA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2CABB" w14:textId="5C6E7157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VII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5541" w14:textId="5EEFE2EF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Sistema de Compra Pública do Uruguai</w:t>
            </w:r>
          </w:p>
        </w:tc>
      </w:tr>
      <w:tr w:rsidR="00D32660" w:rsidRPr="008162CB" w14:paraId="77872BDB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69AB" w14:textId="65207FEC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VIII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CA447" w14:textId="46619F97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Programa Farmácia Popular do Brasil</w:t>
            </w:r>
          </w:p>
        </w:tc>
      </w:tr>
      <w:tr w:rsidR="00D32660" w:rsidRPr="008162CB" w14:paraId="60272CAA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8A87" w14:textId="2E9DE60D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IX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4A10" w14:textId="13AB0FE8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Cuidado Farmacêutico no Brasil</w:t>
            </w:r>
          </w:p>
        </w:tc>
      </w:tr>
      <w:tr w:rsidR="00D32660" w:rsidRPr="008162CB" w14:paraId="7FEDBF83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8544" w14:textId="5398C213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X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558C" w14:textId="74395244" w:rsidR="00D32660" w:rsidRPr="008162CB" w:rsidRDefault="008162CB" w:rsidP="008162CB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Sistemas de Informações da Assistência Farmacêutica no Brasil</w:t>
            </w:r>
          </w:p>
        </w:tc>
      </w:tr>
      <w:tr w:rsidR="00D32660" w:rsidRPr="008162CB" w14:paraId="495C564C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8B88" w14:textId="29080F80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XI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DE5C" w14:textId="0ACD14CE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Programa de Acompanhamento de Tecnologias em Saúde da Argentina</w:t>
            </w:r>
          </w:p>
        </w:tc>
      </w:tr>
      <w:tr w:rsidR="00D32660" w:rsidRPr="008162CB" w14:paraId="7853592E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3F08F" w14:textId="7BDCD804" w:rsidR="00D32660" w:rsidRPr="008162CB" w:rsidRDefault="00D32660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 w:rsidRPr="008162CB">
              <w:rPr>
                <w:rFonts w:eastAsia="Arial" w:cs="Arial"/>
                <w:b/>
                <w:szCs w:val="24"/>
              </w:rPr>
              <w:t>Anexo XII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04E93" w14:textId="100596B0" w:rsidR="00D32660" w:rsidRPr="008162CB" w:rsidRDefault="008162CB" w:rsidP="00C375C6">
            <w:pPr>
              <w:ind w:hanging="2"/>
              <w:jc w:val="both"/>
              <w:rPr>
                <w:rFonts w:cs="Arial"/>
                <w:szCs w:val="24"/>
              </w:rPr>
            </w:pPr>
            <w:r w:rsidRPr="008162CB">
              <w:rPr>
                <w:rFonts w:cs="Arial"/>
                <w:szCs w:val="24"/>
              </w:rPr>
              <w:t>Incorporação de Tecnologias pela CONITEC do Brasil</w:t>
            </w:r>
          </w:p>
        </w:tc>
      </w:tr>
      <w:tr w:rsidR="00A82D93" w:rsidRPr="008162CB" w14:paraId="5A1F0222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B0882" w14:textId="2FAD5743" w:rsidR="00A82D93" w:rsidRPr="008162CB" w:rsidRDefault="00A82D93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XIII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22D42" w14:textId="4B042EE4" w:rsidR="00A82D93" w:rsidRPr="008162CB" w:rsidRDefault="00A82D93" w:rsidP="00C375C6">
            <w:pPr>
              <w:ind w:hanging="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Componente Básico da </w:t>
            </w:r>
            <w:r w:rsidRPr="008162CB">
              <w:rPr>
                <w:rFonts w:cs="Arial"/>
                <w:szCs w:val="24"/>
              </w:rPr>
              <w:t>Assistência Farmacêutica no Brasil</w:t>
            </w:r>
          </w:p>
        </w:tc>
      </w:tr>
      <w:tr w:rsidR="00A82D93" w:rsidRPr="008162CB" w14:paraId="2481C171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4CF5D" w14:textId="17D1EAAF" w:rsidR="00A82D93" w:rsidRPr="008162CB" w:rsidRDefault="00A82D93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XIV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3E47F" w14:textId="36FC5D50" w:rsidR="00A82D93" w:rsidRPr="008162CB" w:rsidRDefault="00A82D93" w:rsidP="00A82D93">
            <w:pPr>
              <w:ind w:hanging="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Componente Estratégico da </w:t>
            </w:r>
            <w:r w:rsidRPr="008162CB">
              <w:rPr>
                <w:rFonts w:cs="Arial"/>
                <w:szCs w:val="24"/>
              </w:rPr>
              <w:t>Assistência Farmacêutica no Brasil</w:t>
            </w:r>
          </w:p>
        </w:tc>
      </w:tr>
      <w:tr w:rsidR="00A82D93" w:rsidRPr="008162CB" w14:paraId="6B8677B6" w14:textId="77777777" w:rsidTr="5C5D7FA0"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422AF" w14:textId="6DB4B268" w:rsidR="00A82D93" w:rsidRPr="008162CB" w:rsidRDefault="00A82D93" w:rsidP="00C375C6">
            <w:pPr>
              <w:ind w:hanging="2"/>
              <w:jc w:val="both"/>
              <w:rPr>
                <w:rFonts w:eastAsia="Arial" w:cs="Arial"/>
                <w:b/>
                <w:szCs w:val="24"/>
              </w:rPr>
            </w:pPr>
            <w:r>
              <w:rPr>
                <w:rFonts w:eastAsia="Arial" w:cs="Arial"/>
                <w:b/>
                <w:szCs w:val="24"/>
              </w:rPr>
              <w:t>Anexo XV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79DB" w14:textId="5105B5A3" w:rsidR="00A82D93" w:rsidRPr="008162CB" w:rsidRDefault="00A82D93" w:rsidP="00A82D93">
            <w:pPr>
              <w:ind w:hanging="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Componente Especializado da </w:t>
            </w:r>
            <w:r w:rsidRPr="008162CB">
              <w:rPr>
                <w:rFonts w:cs="Arial"/>
                <w:szCs w:val="24"/>
              </w:rPr>
              <w:t>Assistência Farmacêutica no Brasil</w:t>
            </w:r>
          </w:p>
        </w:tc>
      </w:tr>
    </w:tbl>
    <w:p w14:paraId="7EE3739B" w14:textId="77777777" w:rsidR="00C375C6" w:rsidRPr="008162CB" w:rsidRDefault="00C375C6" w:rsidP="0077517E">
      <w:pPr>
        <w:jc w:val="both"/>
        <w:rPr>
          <w:rFonts w:cs="Arial"/>
          <w:szCs w:val="24"/>
        </w:rPr>
      </w:pPr>
    </w:p>
    <w:p w14:paraId="33029D83" w14:textId="77777777" w:rsidR="00C375C6" w:rsidRPr="008162CB" w:rsidRDefault="00C375C6" w:rsidP="0077517E">
      <w:pPr>
        <w:jc w:val="both"/>
        <w:rPr>
          <w:rFonts w:cs="Arial"/>
          <w:szCs w:val="24"/>
        </w:rPr>
      </w:pPr>
    </w:p>
    <w:p w14:paraId="62C3E86E" w14:textId="77777777" w:rsidR="00C375C6" w:rsidRPr="008162CB" w:rsidRDefault="00C375C6" w:rsidP="0077517E">
      <w:pPr>
        <w:jc w:val="both"/>
        <w:rPr>
          <w:rFonts w:cs="Arial"/>
          <w:szCs w:val="24"/>
        </w:rPr>
      </w:pPr>
    </w:p>
    <w:tbl>
      <w:tblPr>
        <w:tblW w:w="87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4253"/>
      </w:tblGrid>
      <w:tr w:rsidR="00C375C6" w:rsidRPr="008162CB" w14:paraId="46982A70" w14:textId="77777777" w:rsidTr="00265E9E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728A7" w14:textId="77777777" w:rsidR="00C375C6" w:rsidRPr="008162CB" w:rsidRDefault="00C375C6" w:rsidP="00B35E78">
            <w:pPr>
              <w:widowControl w:val="0"/>
              <w:rPr>
                <w:rFonts w:eastAsia="Calibri" w:cs="Arial"/>
                <w:color w:val="000000" w:themeColor="text1"/>
                <w:szCs w:val="24"/>
              </w:rPr>
            </w:pPr>
          </w:p>
          <w:p w14:paraId="566F5792" w14:textId="77777777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color w:val="000000" w:themeColor="text1"/>
                <w:szCs w:val="24"/>
              </w:rPr>
            </w:pPr>
            <w:r w:rsidRPr="008162CB">
              <w:rPr>
                <w:rFonts w:eastAsia="Calibri" w:cs="Arial"/>
                <w:color w:val="000000" w:themeColor="text1"/>
                <w:szCs w:val="24"/>
              </w:rPr>
              <w:t>___________________________</w:t>
            </w:r>
          </w:p>
          <w:p w14:paraId="087F7221" w14:textId="7BD902E6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  <w:szCs w:val="24"/>
              </w:rPr>
            </w:pPr>
            <w:r w:rsidRPr="008162CB">
              <w:rPr>
                <w:rFonts w:eastAsia="Calibri" w:cs="Arial"/>
                <w:b/>
                <w:color w:val="000000" w:themeColor="text1"/>
                <w:szCs w:val="24"/>
              </w:rPr>
              <w:t>P</w:t>
            </w:r>
            <w:r w:rsidR="00C84B01" w:rsidRPr="008162CB">
              <w:rPr>
                <w:rFonts w:eastAsia="Calibri" w:cs="Arial"/>
                <w:b/>
                <w:color w:val="000000" w:themeColor="text1"/>
                <w:szCs w:val="24"/>
              </w:rPr>
              <w:t>e</w:t>
            </w:r>
            <w:r w:rsidRPr="008162CB">
              <w:rPr>
                <w:rFonts w:eastAsia="Calibri" w:cs="Arial"/>
                <w:b/>
                <w:color w:val="000000" w:themeColor="text1"/>
                <w:szCs w:val="24"/>
              </w:rPr>
              <w:t xml:space="preserve">la </w:t>
            </w:r>
            <w:r w:rsidR="00C84B01" w:rsidRPr="008162CB">
              <w:rPr>
                <w:rFonts w:eastAsia="Calibri" w:cs="Arial"/>
                <w:b/>
                <w:color w:val="000000" w:themeColor="text1"/>
                <w:szCs w:val="24"/>
              </w:rPr>
              <w:t xml:space="preserve">delegação da </w:t>
            </w:r>
            <w:r w:rsidRPr="008162CB">
              <w:rPr>
                <w:rFonts w:eastAsia="Calibri" w:cs="Arial"/>
                <w:b/>
                <w:color w:val="000000" w:themeColor="text1"/>
                <w:szCs w:val="24"/>
              </w:rPr>
              <w:t>Argentina</w:t>
            </w:r>
          </w:p>
          <w:p w14:paraId="61C70850" w14:textId="1A079594" w:rsidR="00C375C6" w:rsidRPr="008162CB" w:rsidRDefault="00050E07" w:rsidP="00265E9E">
            <w:pPr>
              <w:widowControl w:val="0"/>
              <w:jc w:val="center"/>
              <w:rPr>
                <w:rFonts w:eastAsia="Calibri" w:cs="Arial"/>
                <w:color w:val="000000" w:themeColor="text1"/>
                <w:szCs w:val="24"/>
              </w:rPr>
            </w:pPr>
            <w:r w:rsidRPr="008162CB">
              <w:rPr>
                <w:rFonts w:eastAsia="Calibri" w:cs="Arial"/>
                <w:color w:val="000000" w:themeColor="text1"/>
                <w:szCs w:val="24"/>
              </w:rPr>
              <w:t>Maria Celeste Dia</w:t>
            </w:r>
            <w:r w:rsidR="49AB7908" w:rsidRPr="008162CB">
              <w:rPr>
                <w:rFonts w:eastAsia="Calibri" w:cs="Arial"/>
                <w:color w:val="000000" w:themeColor="text1"/>
                <w:szCs w:val="24"/>
              </w:rPr>
              <w:t>z</w:t>
            </w: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3A08" w14:textId="77777777" w:rsidR="00C375C6" w:rsidRPr="008162CB" w:rsidRDefault="00C375C6" w:rsidP="00B35E78">
            <w:pPr>
              <w:widowControl w:val="0"/>
              <w:rPr>
                <w:rFonts w:eastAsia="Calibri" w:cs="Arial"/>
                <w:color w:val="000000" w:themeColor="text1"/>
                <w:szCs w:val="24"/>
              </w:rPr>
            </w:pPr>
          </w:p>
          <w:p w14:paraId="217D3573" w14:textId="77777777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color w:val="000000" w:themeColor="text1"/>
                <w:szCs w:val="24"/>
              </w:rPr>
            </w:pPr>
            <w:r w:rsidRPr="008162CB">
              <w:rPr>
                <w:rFonts w:eastAsia="Calibri" w:cs="Arial"/>
                <w:color w:val="000000" w:themeColor="text1"/>
                <w:szCs w:val="24"/>
              </w:rPr>
              <w:t>__________________________</w:t>
            </w:r>
          </w:p>
          <w:p w14:paraId="5B784FDF" w14:textId="22AB89A1" w:rsidR="00C375C6" w:rsidRPr="008162CB" w:rsidRDefault="00C84B01" w:rsidP="00C375C6">
            <w:pPr>
              <w:widowControl w:val="0"/>
              <w:jc w:val="center"/>
              <w:rPr>
                <w:rFonts w:eastAsia="Calibri" w:cs="Arial"/>
                <w:b/>
                <w:color w:val="000000" w:themeColor="text1"/>
                <w:szCs w:val="24"/>
              </w:rPr>
            </w:pPr>
            <w:r w:rsidRPr="008162CB">
              <w:rPr>
                <w:rFonts w:eastAsia="Calibri" w:cs="Arial"/>
                <w:b/>
                <w:color w:val="000000" w:themeColor="text1"/>
                <w:szCs w:val="24"/>
              </w:rPr>
              <w:t>Pela delegação do</w:t>
            </w:r>
            <w:r w:rsidR="00C375C6" w:rsidRPr="008162CB">
              <w:rPr>
                <w:rFonts w:eastAsia="Calibri" w:cs="Arial"/>
                <w:b/>
                <w:color w:val="000000" w:themeColor="text1"/>
                <w:szCs w:val="24"/>
              </w:rPr>
              <w:t xml:space="preserve"> Brasil</w:t>
            </w:r>
          </w:p>
          <w:p w14:paraId="430FDCD4" w14:textId="2274A926" w:rsidR="00763FA2" w:rsidRPr="008162CB" w:rsidRDefault="00050E07" w:rsidP="00763FA2">
            <w:pPr>
              <w:widowControl w:val="0"/>
              <w:jc w:val="center"/>
              <w:rPr>
                <w:rFonts w:eastAsia="Calibri" w:cs="Arial"/>
                <w:bCs/>
                <w:color w:val="000000" w:themeColor="text1"/>
                <w:szCs w:val="24"/>
              </w:rPr>
            </w:pPr>
            <w:r w:rsidRPr="008162CB">
              <w:rPr>
                <w:rFonts w:eastAsia="Calibri" w:cs="Arial"/>
                <w:bCs/>
                <w:color w:val="000000" w:themeColor="text1"/>
                <w:szCs w:val="24"/>
              </w:rPr>
              <w:t>Marco Aurélio Pereira</w:t>
            </w:r>
          </w:p>
          <w:p w14:paraId="7063FAC4" w14:textId="77777777" w:rsidR="00C375C6" w:rsidRPr="008162CB" w:rsidRDefault="00C375C6" w:rsidP="00265E9E">
            <w:pPr>
              <w:widowControl w:val="0"/>
              <w:rPr>
                <w:rFonts w:eastAsia="Calibri" w:cs="Arial"/>
                <w:color w:val="000000" w:themeColor="text1"/>
                <w:szCs w:val="24"/>
              </w:rPr>
            </w:pPr>
          </w:p>
        </w:tc>
      </w:tr>
      <w:tr w:rsidR="00C375C6" w:rsidRPr="008162CB" w14:paraId="2356C3D0" w14:textId="77777777" w:rsidTr="00265E9E"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0E0A1" w14:textId="77777777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69D182E0" w14:textId="77777777" w:rsidR="00C84B01" w:rsidRPr="008162CB" w:rsidRDefault="00C84B01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74D66770" w14:textId="77777777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8162CB">
              <w:rPr>
                <w:rFonts w:eastAsia="Calibri" w:cs="Arial"/>
                <w:szCs w:val="24"/>
              </w:rPr>
              <w:t>____________________________</w:t>
            </w:r>
          </w:p>
          <w:p w14:paraId="604B238E" w14:textId="6204DE30" w:rsidR="00C375C6" w:rsidRPr="008162CB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8162CB">
              <w:rPr>
                <w:rFonts w:eastAsia="Calibri" w:cs="Arial"/>
                <w:b/>
                <w:szCs w:val="24"/>
              </w:rPr>
              <w:t xml:space="preserve">Pela delegação do </w:t>
            </w:r>
            <w:r w:rsidR="00C375C6" w:rsidRPr="008162CB">
              <w:rPr>
                <w:rFonts w:eastAsia="Calibri" w:cs="Arial"/>
                <w:b/>
                <w:szCs w:val="24"/>
              </w:rPr>
              <w:t>Paraguay</w:t>
            </w:r>
          </w:p>
          <w:p w14:paraId="52978B74" w14:textId="34956C30" w:rsidR="00763FA2" w:rsidRPr="008162CB" w:rsidRDefault="008162CB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proofErr w:type="spellStart"/>
            <w:r w:rsidRPr="008162CB">
              <w:rPr>
                <w:rFonts w:eastAsia="Calibri" w:cs="Arial"/>
                <w:bCs/>
                <w:szCs w:val="24"/>
              </w:rPr>
              <w:t>Alcira</w:t>
            </w:r>
            <w:proofErr w:type="spellEnd"/>
            <w:r w:rsidRPr="008162CB">
              <w:rPr>
                <w:rFonts w:eastAsia="Calibri" w:cs="Arial"/>
                <w:bCs/>
                <w:szCs w:val="24"/>
              </w:rPr>
              <w:t xml:space="preserve"> Molas</w:t>
            </w:r>
          </w:p>
          <w:p w14:paraId="0C657CBF" w14:textId="77777777" w:rsidR="00C375C6" w:rsidRPr="008162CB" w:rsidRDefault="00C375C6" w:rsidP="00C84B01">
            <w:pPr>
              <w:widowControl w:val="0"/>
              <w:rPr>
                <w:rFonts w:eastAsia="Calibri" w:cs="Arial"/>
                <w:szCs w:val="24"/>
              </w:rPr>
            </w:pPr>
          </w:p>
        </w:tc>
        <w:tc>
          <w:tcPr>
            <w:tcW w:w="42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519A" w14:textId="77777777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2246D563" w14:textId="77777777" w:rsidR="00C84B01" w:rsidRPr="008162CB" w:rsidRDefault="00C84B01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  <w:p w14:paraId="459A4CD9" w14:textId="77777777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  <w:r w:rsidRPr="008162CB">
              <w:rPr>
                <w:rFonts w:eastAsia="Calibri" w:cs="Arial"/>
                <w:szCs w:val="24"/>
              </w:rPr>
              <w:t>___________________________</w:t>
            </w:r>
          </w:p>
          <w:p w14:paraId="4B82FABF" w14:textId="4F1363B9" w:rsidR="00C375C6" w:rsidRPr="008162CB" w:rsidRDefault="00C84B01" w:rsidP="00C375C6">
            <w:pPr>
              <w:widowControl w:val="0"/>
              <w:jc w:val="center"/>
              <w:rPr>
                <w:rFonts w:eastAsia="Calibri" w:cs="Arial"/>
                <w:b/>
                <w:szCs w:val="24"/>
              </w:rPr>
            </w:pPr>
            <w:r w:rsidRPr="008162CB">
              <w:rPr>
                <w:rFonts w:eastAsia="Calibri" w:cs="Arial"/>
                <w:b/>
                <w:szCs w:val="24"/>
              </w:rPr>
              <w:t xml:space="preserve">Pela delegação do </w:t>
            </w:r>
            <w:r w:rsidR="00C375C6" w:rsidRPr="008162CB">
              <w:rPr>
                <w:rFonts w:eastAsia="Calibri" w:cs="Arial"/>
                <w:b/>
                <w:szCs w:val="24"/>
              </w:rPr>
              <w:t>Uruguay</w:t>
            </w:r>
          </w:p>
          <w:p w14:paraId="1ACDC433" w14:textId="738C0205" w:rsidR="00763FA2" w:rsidRPr="008162CB" w:rsidRDefault="00050E07" w:rsidP="00763FA2">
            <w:pPr>
              <w:widowControl w:val="0"/>
              <w:jc w:val="center"/>
              <w:rPr>
                <w:rFonts w:eastAsia="Calibri" w:cs="Arial"/>
                <w:bCs/>
                <w:szCs w:val="24"/>
              </w:rPr>
            </w:pPr>
            <w:r w:rsidRPr="008162CB">
              <w:rPr>
                <w:rFonts w:eastAsia="Calibri" w:cs="Arial"/>
                <w:bCs/>
                <w:szCs w:val="24"/>
              </w:rPr>
              <w:t xml:space="preserve">Karina </w:t>
            </w:r>
            <w:proofErr w:type="spellStart"/>
            <w:r w:rsidRPr="008162CB">
              <w:rPr>
                <w:rFonts w:eastAsia="Calibri" w:cs="Arial"/>
                <w:bCs/>
                <w:szCs w:val="24"/>
              </w:rPr>
              <w:t>Cuadra</w:t>
            </w:r>
            <w:proofErr w:type="spellEnd"/>
          </w:p>
          <w:p w14:paraId="7ADA4A06" w14:textId="77777777" w:rsidR="00C375C6" w:rsidRPr="008162CB" w:rsidRDefault="00C375C6" w:rsidP="00C375C6">
            <w:pPr>
              <w:widowControl w:val="0"/>
              <w:jc w:val="center"/>
              <w:rPr>
                <w:rFonts w:eastAsia="Calibri" w:cs="Arial"/>
                <w:szCs w:val="24"/>
              </w:rPr>
            </w:pPr>
          </w:p>
        </w:tc>
      </w:tr>
    </w:tbl>
    <w:p w14:paraId="16C6C4EC" w14:textId="77777777" w:rsidR="00C375C6" w:rsidRPr="00763FA2" w:rsidRDefault="00C375C6" w:rsidP="0077517E">
      <w:pPr>
        <w:jc w:val="both"/>
      </w:pPr>
    </w:p>
    <w:sectPr w:rsidR="00C375C6" w:rsidRPr="00763FA2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51B0" w14:textId="77777777" w:rsidR="00B35E78" w:rsidRDefault="00B35E78" w:rsidP="00B35E78">
      <w:r>
        <w:separator/>
      </w:r>
    </w:p>
  </w:endnote>
  <w:endnote w:type="continuationSeparator" w:id="0">
    <w:p w14:paraId="5B46C0DB" w14:textId="77777777" w:rsidR="00B35E78" w:rsidRDefault="00B35E78" w:rsidP="00B3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47539"/>
      <w:docPartObj>
        <w:docPartGallery w:val="Page Numbers (Bottom of Page)"/>
        <w:docPartUnique/>
      </w:docPartObj>
    </w:sdtPr>
    <w:sdtEndPr/>
    <w:sdtContent>
      <w:p w14:paraId="1EC256FB" w14:textId="45117257" w:rsidR="00B35E78" w:rsidRDefault="00B35E7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E4BE002" w14:textId="77777777" w:rsidR="00B35E78" w:rsidRDefault="00B35E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956F" w14:textId="77777777" w:rsidR="00B35E78" w:rsidRDefault="00B35E78" w:rsidP="00B35E78">
      <w:r>
        <w:separator/>
      </w:r>
    </w:p>
  </w:footnote>
  <w:footnote w:type="continuationSeparator" w:id="0">
    <w:p w14:paraId="5D3D6E61" w14:textId="77777777" w:rsidR="00B35E78" w:rsidRDefault="00B35E78" w:rsidP="00B35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7EE"/>
    <w:multiLevelType w:val="hybridMultilevel"/>
    <w:tmpl w:val="F882575A"/>
    <w:lvl w:ilvl="0" w:tplc="A9A83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40E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812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244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C0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785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40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0A82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901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83AE7"/>
    <w:multiLevelType w:val="hybridMultilevel"/>
    <w:tmpl w:val="4FF6F640"/>
    <w:lvl w:ilvl="0" w:tplc="9676B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D44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3A8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CA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D0D9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0CE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47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BF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69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62D3E"/>
    <w:multiLevelType w:val="hybridMultilevel"/>
    <w:tmpl w:val="3BC8EA84"/>
    <w:lvl w:ilvl="0" w:tplc="630C1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42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6B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7E5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D2C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603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06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CA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41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C6B30"/>
    <w:multiLevelType w:val="hybridMultilevel"/>
    <w:tmpl w:val="E6746E58"/>
    <w:lvl w:ilvl="0" w:tplc="9CE0BBE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050B1"/>
    <w:multiLevelType w:val="hybridMultilevel"/>
    <w:tmpl w:val="DA9C0B50"/>
    <w:lvl w:ilvl="0" w:tplc="712E8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24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68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6C5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4E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44C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4AB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CE4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CA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242"/>
    <w:multiLevelType w:val="hybridMultilevel"/>
    <w:tmpl w:val="63F42446"/>
    <w:lvl w:ilvl="0" w:tplc="07189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CC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C1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A33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1A3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A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62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68E6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0C94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E613D"/>
    <w:multiLevelType w:val="hybridMultilevel"/>
    <w:tmpl w:val="D242A45C"/>
    <w:lvl w:ilvl="0" w:tplc="C71E79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6C3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36B6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EF7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FC6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637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0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082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45170">
    <w:abstractNumId w:val="6"/>
  </w:num>
  <w:num w:numId="2" w16cid:durableId="1652712202">
    <w:abstractNumId w:val="4"/>
  </w:num>
  <w:num w:numId="3" w16cid:durableId="341322352">
    <w:abstractNumId w:val="1"/>
  </w:num>
  <w:num w:numId="4" w16cid:durableId="2137018019">
    <w:abstractNumId w:val="2"/>
  </w:num>
  <w:num w:numId="5" w16cid:durableId="861237870">
    <w:abstractNumId w:val="5"/>
  </w:num>
  <w:num w:numId="6" w16cid:durableId="1764640014">
    <w:abstractNumId w:val="0"/>
  </w:num>
  <w:num w:numId="7" w16cid:durableId="1082988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F5F"/>
    <w:rsid w:val="00002A8A"/>
    <w:rsid w:val="000069B0"/>
    <w:rsid w:val="00050E07"/>
    <w:rsid w:val="001872FD"/>
    <w:rsid w:val="001938D5"/>
    <w:rsid w:val="001D6122"/>
    <w:rsid w:val="00220F5F"/>
    <w:rsid w:val="00265E9E"/>
    <w:rsid w:val="00311C40"/>
    <w:rsid w:val="00395D55"/>
    <w:rsid w:val="003D5A10"/>
    <w:rsid w:val="004023C6"/>
    <w:rsid w:val="004452BD"/>
    <w:rsid w:val="00470097"/>
    <w:rsid w:val="0048198D"/>
    <w:rsid w:val="004F4931"/>
    <w:rsid w:val="006A71F9"/>
    <w:rsid w:val="006B58DA"/>
    <w:rsid w:val="00751C54"/>
    <w:rsid w:val="00763FA2"/>
    <w:rsid w:val="0077517E"/>
    <w:rsid w:val="007D0870"/>
    <w:rsid w:val="007D7FF4"/>
    <w:rsid w:val="008162CB"/>
    <w:rsid w:val="00946005"/>
    <w:rsid w:val="009771ED"/>
    <w:rsid w:val="00997779"/>
    <w:rsid w:val="00A55F09"/>
    <w:rsid w:val="00A82D93"/>
    <w:rsid w:val="00A91B77"/>
    <w:rsid w:val="00AE16F7"/>
    <w:rsid w:val="00B35E78"/>
    <w:rsid w:val="00C375C6"/>
    <w:rsid w:val="00C62C41"/>
    <w:rsid w:val="00C84B01"/>
    <w:rsid w:val="00CF7443"/>
    <w:rsid w:val="00D029F8"/>
    <w:rsid w:val="00D05673"/>
    <w:rsid w:val="00D32660"/>
    <w:rsid w:val="00DC2A5B"/>
    <w:rsid w:val="00E0506A"/>
    <w:rsid w:val="00E72808"/>
    <w:rsid w:val="00E943A2"/>
    <w:rsid w:val="00F5305E"/>
    <w:rsid w:val="00FA1BF3"/>
    <w:rsid w:val="0BC60FA6"/>
    <w:rsid w:val="17BF173E"/>
    <w:rsid w:val="1821026E"/>
    <w:rsid w:val="198A20E0"/>
    <w:rsid w:val="23DF47AD"/>
    <w:rsid w:val="343D5A52"/>
    <w:rsid w:val="3690576F"/>
    <w:rsid w:val="3930026C"/>
    <w:rsid w:val="453E0853"/>
    <w:rsid w:val="49AB7908"/>
    <w:rsid w:val="56A2EDE6"/>
    <w:rsid w:val="5C5D7FA0"/>
    <w:rsid w:val="5D5BA42F"/>
    <w:rsid w:val="6C2BABE1"/>
    <w:rsid w:val="6EA6534B"/>
    <w:rsid w:val="73384F6B"/>
    <w:rsid w:val="7BA8EC06"/>
    <w:rsid w:val="7FD28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F6974"/>
  <w15:chartTrackingRefBased/>
  <w15:docId w15:val="{14392A00-27DC-472F-A655-E987DE5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931"/>
    <w:pPr>
      <w:spacing w:after="0" w:line="240" w:lineRule="auto"/>
    </w:pPr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0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0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0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0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0F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0F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0F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0F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0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0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0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0F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0F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0F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0F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0F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0F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0F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0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0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0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0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0F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0F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0F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0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0F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0F5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35E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5E78"/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35E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5E78"/>
    <w:rPr>
      <w:rFonts w:ascii="Arial" w:eastAsia="Times New Roman" w:hAnsi="Arial" w:cs="Times New Roman"/>
      <w:kern w:val="0"/>
      <w:szCs w:val="20"/>
      <w:lang w:val="pt-BR" w:eastAsia="es-ES"/>
      <w14:ligatures w14:val="none"/>
    </w:rPr>
  </w:style>
  <w:style w:type="character" w:styleId="Hyperlink">
    <w:name w:val="Hyperlink"/>
    <w:basedOn w:val="Fontepargpadro"/>
    <w:uiPriority w:val="99"/>
    <w:unhideWhenUsed/>
    <w:rsid w:val="00B35E7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35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rcosur.in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1269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Marcy Hottum</cp:lastModifiedBy>
  <cp:revision>8</cp:revision>
  <dcterms:created xsi:type="dcterms:W3CDTF">2025-09-16T22:47:00Z</dcterms:created>
  <dcterms:modified xsi:type="dcterms:W3CDTF">2025-09-17T12:48:00Z</dcterms:modified>
</cp:coreProperties>
</file>