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908EBB" w14:textId="54A72C13" w:rsidR="00434E80" w:rsidRDefault="004D0638" w:rsidP="004D0638">
      <w:pPr>
        <w:jc w:val="center"/>
      </w:pPr>
      <w:r w:rsidRPr="00BB6109">
        <w:rPr>
          <w:noProof/>
          <w:lang w:eastAsia="pt-BR"/>
        </w:rPr>
        <w:drawing>
          <wp:anchor distT="0" distB="0" distL="114300" distR="114300" simplePos="0" relativeHeight="251661312" behindDoc="0" locked="0" layoutInCell="1" allowOverlap="1" wp14:anchorId="54AA933C" wp14:editId="56389B35">
            <wp:simplePos x="0" y="0"/>
            <wp:positionH relativeFrom="margin">
              <wp:align>right</wp:align>
            </wp:positionH>
            <wp:positionV relativeFrom="page">
              <wp:posOffset>918845</wp:posOffset>
            </wp:positionV>
            <wp:extent cx="1199875" cy="761759"/>
            <wp:effectExtent l="0" t="0" r="635" b="635"/>
            <wp:wrapSquare wrapText="bothSides"/>
            <wp:docPr id="1" name="Picture 1" descr="Logotipo&#10;&#10;El contenido generado por IA puede ser incorrecto."/>
            <wp:cNvGraphicFramePr/>
            <a:graphic xmlns:a="http://schemas.openxmlformats.org/drawingml/2006/main">
              <a:graphicData uri="http://schemas.openxmlformats.org/drawingml/2006/picture">
                <pic:pic xmlns:pic="http://schemas.openxmlformats.org/drawingml/2006/picture">
                  <pic:nvPicPr>
                    <pic:cNvPr id="1" name="Picture 1" descr="Logotipo&#10;&#10;El contenido generado por IA puede ser incorrecto."/>
                    <pic:cNvPicPr/>
                  </pic:nvPicPr>
                  <pic:blipFill>
                    <a:blip r:embed="rId11">
                      <a:lum/>
                      <a:alphaModFix/>
                    </a:blip>
                    <a:srcRect/>
                    <a:stretch>
                      <a:fillRect/>
                    </a:stretch>
                  </pic:blipFill>
                  <pic:spPr>
                    <a:xfrm>
                      <a:off x="0" y="0"/>
                      <a:ext cx="1199875" cy="761759"/>
                    </a:xfrm>
                    <a:prstGeom prst="rect">
                      <a:avLst/>
                    </a:prstGeom>
                    <a:noFill/>
                    <a:ln>
                      <a:noFill/>
                      <a:prstDash/>
                    </a:ln>
                  </pic:spPr>
                </pic:pic>
              </a:graphicData>
            </a:graphic>
          </wp:anchor>
        </w:drawing>
      </w:r>
      <w:r w:rsidRPr="00BB6109">
        <w:rPr>
          <w:noProof/>
          <w:lang w:eastAsia="pt-BR"/>
        </w:rPr>
        <w:drawing>
          <wp:anchor distT="0" distB="0" distL="114300" distR="114300" simplePos="0" relativeHeight="251659264" behindDoc="0" locked="0" layoutInCell="1" allowOverlap="1" wp14:anchorId="44F5B5FA" wp14:editId="0A395894">
            <wp:simplePos x="0" y="0"/>
            <wp:positionH relativeFrom="margin">
              <wp:align>left</wp:align>
            </wp:positionH>
            <wp:positionV relativeFrom="paragraph">
              <wp:posOffset>76200</wp:posOffset>
            </wp:positionV>
            <wp:extent cx="1190155" cy="743754"/>
            <wp:effectExtent l="0" t="0" r="0" b="0"/>
            <wp:wrapTopAndBottom/>
            <wp:docPr id="2" name="1" descr="Logotipo&#10;&#10;El contenido generado por IA puede ser incorrecto."/>
            <wp:cNvGraphicFramePr/>
            <a:graphic xmlns:a="http://schemas.openxmlformats.org/drawingml/2006/main">
              <a:graphicData uri="http://schemas.openxmlformats.org/drawingml/2006/picture">
                <pic:pic xmlns:pic="http://schemas.openxmlformats.org/drawingml/2006/picture">
                  <pic:nvPicPr>
                    <pic:cNvPr id="2" name="1" descr="Logotipo&#10;&#10;El contenido generado por IA puede ser incorrecto."/>
                    <pic:cNvPicPr/>
                  </pic:nvPicPr>
                  <pic:blipFill>
                    <a:blip r:embed="rId12">
                      <a:lum/>
                      <a:alphaModFix/>
                    </a:blip>
                    <a:srcRect/>
                    <a:stretch>
                      <a:fillRect/>
                    </a:stretch>
                  </pic:blipFill>
                  <pic:spPr>
                    <a:xfrm>
                      <a:off x="0" y="0"/>
                      <a:ext cx="1190155" cy="743754"/>
                    </a:xfrm>
                    <a:prstGeom prst="rect">
                      <a:avLst/>
                    </a:prstGeom>
                    <a:noFill/>
                    <a:ln>
                      <a:noFill/>
                      <a:prstDash/>
                    </a:ln>
                  </pic:spPr>
                </pic:pic>
              </a:graphicData>
            </a:graphic>
          </wp:anchor>
        </w:drawing>
      </w:r>
      <w:r w:rsidR="0DED14D5" w:rsidRPr="015AD2CD">
        <w:rPr>
          <w:rFonts w:eastAsia="Arial" w:cs="Arial"/>
          <w:b/>
          <w:bCs/>
          <w:color w:val="000000" w:themeColor="text1"/>
          <w:szCs w:val="24"/>
        </w:rPr>
        <w:t xml:space="preserve"> </w:t>
      </w:r>
    </w:p>
    <w:p w14:paraId="0C5933FE" w14:textId="748D21C9" w:rsidR="00434E80" w:rsidRDefault="0DED14D5" w:rsidP="015AD2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20"/>
        </w:tabs>
        <w:jc w:val="both"/>
      </w:pPr>
      <w:r w:rsidRPr="015AD2CD">
        <w:rPr>
          <w:rFonts w:eastAsia="Arial" w:cs="Arial"/>
          <w:b/>
          <w:bCs/>
          <w:color w:val="000000" w:themeColor="text1"/>
          <w:szCs w:val="24"/>
        </w:rPr>
        <w:t>MERCOSUL/GAO/ATA Nº 02/25</w:t>
      </w:r>
    </w:p>
    <w:p w14:paraId="258BEA93" w14:textId="3790362D" w:rsidR="00434E80" w:rsidRDefault="0DED14D5" w:rsidP="015AD2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20"/>
        </w:tabs>
        <w:jc w:val="both"/>
      </w:pPr>
      <w:r w:rsidRPr="015AD2CD">
        <w:rPr>
          <w:rFonts w:eastAsia="Arial" w:cs="Arial"/>
          <w:b/>
          <w:bCs/>
          <w:color w:val="000000" w:themeColor="text1"/>
          <w:szCs w:val="24"/>
        </w:rPr>
        <w:t xml:space="preserve"> </w:t>
      </w:r>
    </w:p>
    <w:p w14:paraId="67ECB6DC" w14:textId="03983AD4" w:rsidR="00434E80" w:rsidRDefault="0DED14D5" w:rsidP="015AD2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20"/>
        </w:tabs>
        <w:jc w:val="center"/>
      </w:pPr>
      <w:r w:rsidRPr="015AD2CD">
        <w:rPr>
          <w:rFonts w:eastAsia="Arial" w:cs="Arial"/>
          <w:b/>
          <w:bCs/>
          <w:color w:val="000000" w:themeColor="text1"/>
          <w:szCs w:val="24"/>
        </w:rPr>
        <w:t xml:space="preserve">LXXI REUNIÃO ORDINÁRIA DO GRUPO DE ASSUNTOS </w:t>
      </w:r>
    </w:p>
    <w:p w14:paraId="273566A8" w14:textId="31AF2D2E" w:rsidR="00434E80" w:rsidRDefault="0DED14D5" w:rsidP="015AD2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20"/>
        </w:tabs>
        <w:jc w:val="center"/>
      </w:pPr>
      <w:r w:rsidRPr="015AD2CD">
        <w:rPr>
          <w:rFonts w:eastAsia="Arial" w:cs="Arial"/>
          <w:b/>
          <w:bCs/>
          <w:color w:val="000000" w:themeColor="text1"/>
          <w:szCs w:val="24"/>
        </w:rPr>
        <w:t>ORÇAMENTÁRIOS (GAO)</w:t>
      </w:r>
    </w:p>
    <w:p w14:paraId="11749E16" w14:textId="15C357C2" w:rsidR="00434E80" w:rsidRDefault="0DED14D5" w:rsidP="015AD2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20"/>
        </w:tabs>
        <w:jc w:val="both"/>
      </w:pPr>
      <w:r w:rsidRPr="015AD2CD">
        <w:rPr>
          <w:rFonts w:eastAsia="Arial" w:cs="Arial"/>
          <w:color w:val="000000" w:themeColor="text1"/>
          <w:szCs w:val="24"/>
        </w:rPr>
        <w:t xml:space="preserve"> </w:t>
      </w:r>
    </w:p>
    <w:p w14:paraId="0FEA9D43" w14:textId="6BEE17C2" w:rsidR="00434E80" w:rsidRDefault="0DED14D5" w:rsidP="015AD2CD">
      <w:pPr>
        <w:jc w:val="both"/>
      </w:pPr>
      <w:r w:rsidRPr="015AD2CD">
        <w:rPr>
          <w:rFonts w:eastAsia="Arial" w:cs="Arial"/>
          <w:szCs w:val="24"/>
        </w:rPr>
        <w:t>Realizou-</w:t>
      </w:r>
      <w:r w:rsidRPr="015AD2CD">
        <w:rPr>
          <w:rFonts w:eastAsia="Arial" w:cs="Arial"/>
          <w:color w:val="000000" w:themeColor="text1"/>
          <w:szCs w:val="24"/>
        </w:rPr>
        <w:t>se, nos dias 9 e 10 de setembro de 2025,</w:t>
      </w:r>
      <w:r w:rsidRPr="015AD2CD">
        <w:rPr>
          <w:rFonts w:eastAsia="Arial" w:cs="Arial"/>
          <w:szCs w:val="24"/>
        </w:rPr>
        <w:t xml:space="preserve"> no exercício da Presidência </w:t>
      </w:r>
      <w:r w:rsidRPr="015AD2CD">
        <w:rPr>
          <w:rFonts w:eastAsia="Arial" w:cs="Arial"/>
          <w:i/>
          <w:iCs/>
          <w:szCs w:val="24"/>
        </w:rPr>
        <w:t>Pro Tempore</w:t>
      </w:r>
      <w:r w:rsidRPr="015AD2CD">
        <w:rPr>
          <w:rFonts w:eastAsia="Arial" w:cs="Arial"/>
          <w:szCs w:val="24"/>
        </w:rPr>
        <w:t xml:space="preserve"> do Brasil (PPTB), a LXXI Reunião Ordinária do Grupo de Assuntos Orçamentários (GAO), pelo sistema de videoconferência, em conformidade com o disposto na Resolução GMC N° 19/12, com a participação das delegações da Argentina, do Brasil, do Paraguai e do Uruguai.</w:t>
      </w:r>
    </w:p>
    <w:p w14:paraId="2BD55A59" w14:textId="2B25A8DD" w:rsidR="00434E80" w:rsidRDefault="0DED14D5" w:rsidP="015AD2CD">
      <w:pPr>
        <w:jc w:val="both"/>
      </w:pPr>
      <w:r w:rsidRPr="015AD2CD">
        <w:rPr>
          <w:rFonts w:eastAsia="Arial" w:cs="Arial"/>
          <w:szCs w:val="24"/>
        </w:rPr>
        <w:t xml:space="preserve"> </w:t>
      </w:r>
    </w:p>
    <w:p w14:paraId="1EAC22C6" w14:textId="6DB8C287" w:rsidR="00434E80" w:rsidRDefault="0DED14D5" w:rsidP="015AD2CD">
      <w:pPr>
        <w:jc w:val="both"/>
      </w:pPr>
      <w:r w:rsidRPr="015AD2CD">
        <w:rPr>
          <w:rFonts w:eastAsia="Arial" w:cs="Arial"/>
          <w:szCs w:val="24"/>
        </w:rPr>
        <w:t>O GAO deu continuidade ao diálogo com os máximos responsáveis de Secretaria do MERCOSUL (SM), Tribunal Permanente de Revisão (TPR), Instituto Social do MERCOSUL (ISM) e Instituto de Políticas Públicas em Direitos Humanos (IPPDH).</w:t>
      </w:r>
    </w:p>
    <w:p w14:paraId="46EA565D" w14:textId="7FBFB366" w:rsidR="00434E80" w:rsidRDefault="0DED14D5" w:rsidP="015AD2CD">
      <w:pPr>
        <w:spacing w:before="240"/>
        <w:jc w:val="both"/>
      </w:pPr>
      <w:r w:rsidRPr="015AD2CD">
        <w:rPr>
          <w:rFonts w:eastAsia="Arial" w:cs="Arial"/>
          <w:szCs w:val="24"/>
        </w:rPr>
        <w:t xml:space="preserve">A Lista de Participantes consta no </w:t>
      </w:r>
      <w:r w:rsidRPr="015AD2CD">
        <w:rPr>
          <w:rFonts w:eastAsia="Arial" w:cs="Arial"/>
          <w:b/>
          <w:bCs/>
          <w:szCs w:val="24"/>
        </w:rPr>
        <w:t>Anexo I</w:t>
      </w:r>
      <w:r w:rsidRPr="015AD2CD">
        <w:rPr>
          <w:rFonts w:eastAsia="Arial" w:cs="Arial"/>
          <w:szCs w:val="24"/>
        </w:rPr>
        <w:t>.</w:t>
      </w:r>
    </w:p>
    <w:p w14:paraId="4C3C88FD" w14:textId="1CEABAEA" w:rsidR="00434E80" w:rsidRDefault="0DED14D5" w:rsidP="015AD2CD">
      <w:pPr>
        <w:spacing w:before="240"/>
        <w:jc w:val="both"/>
      </w:pPr>
      <w:r w:rsidRPr="015AD2CD">
        <w:rPr>
          <w:rFonts w:eastAsia="Arial" w:cs="Arial"/>
          <w:szCs w:val="24"/>
        </w:rPr>
        <w:t xml:space="preserve">A Agenda consta no </w:t>
      </w:r>
      <w:r w:rsidRPr="015AD2CD">
        <w:rPr>
          <w:rFonts w:eastAsia="Arial" w:cs="Arial"/>
          <w:b/>
          <w:bCs/>
          <w:szCs w:val="24"/>
        </w:rPr>
        <w:t>Anexo II</w:t>
      </w:r>
      <w:r w:rsidRPr="015AD2CD">
        <w:rPr>
          <w:rFonts w:eastAsia="Arial" w:cs="Arial"/>
          <w:szCs w:val="24"/>
        </w:rPr>
        <w:t>.</w:t>
      </w:r>
    </w:p>
    <w:p w14:paraId="518CA25A" w14:textId="4228BE55" w:rsidR="00434E80" w:rsidRDefault="0DED14D5" w:rsidP="015AD2CD">
      <w:pPr>
        <w:spacing w:before="240"/>
        <w:jc w:val="both"/>
      </w:pPr>
      <w:r w:rsidRPr="015AD2CD">
        <w:rPr>
          <w:rFonts w:eastAsia="Arial" w:cs="Arial"/>
          <w:szCs w:val="24"/>
        </w:rPr>
        <w:t xml:space="preserve">O Resumo da Ata consta no </w:t>
      </w:r>
      <w:r w:rsidRPr="015AD2CD">
        <w:rPr>
          <w:rFonts w:eastAsia="Arial" w:cs="Arial"/>
          <w:b/>
          <w:bCs/>
          <w:szCs w:val="24"/>
        </w:rPr>
        <w:t>Anexo III</w:t>
      </w:r>
      <w:r w:rsidRPr="015AD2CD">
        <w:rPr>
          <w:rFonts w:eastAsia="Arial" w:cs="Arial"/>
          <w:szCs w:val="24"/>
        </w:rPr>
        <w:t>.</w:t>
      </w:r>
    </w:p>
    <w:p w14:paraId="3D120BB1" w14:textId="3C3CE462" w:rsidR="00434E80" w:rsidRDefault="0DED14D5" w:rsidP="015AD2CD">
      <w:pPr>
        <w:shd w:val="clear" w:color="auto" w:fill="FFFFFF" w:themeFill="background1"/>
      </w:pPr>
      <w:r w:rsidRPr="015AD2CD">
        <w:rPr>
          <w:rFonts w:eastAsia="Arial" w:cs="Arial"/>
          <w:color w:val="000000" w:themeColor="text1"/>
          <w:szCs w:val="24"/>
        </w:rPr>
        <w:t xml:space="preserve"> </w:t>
      </w:r>
    </w:p>
    <w:p w14:paraId="760B4F22" w14:textId="4D896A10" w:rsidR="00434E80" w:rsidRDefault="0DED14D5" w:rsidP="015AD2CD">
      <w:pPr>
        <w:shd w:val="clear" w:color="auto" w:fill="FFFFFF" w:themeFill="background1"/>
      </w:pPr>
      <w:r w:rsidRPr="015AD2CD">
        <w:rPr>
          <w:rFonts w:eastAsia="Arial" w:cs="Arial"/>
          <w:color w:val="000000" w:themeColor="text1"/>
          <w:szCs w:val="24"/>
        </w:rPr>
        <w:t>Durante a reunião, trataram-se os seguintes temas:</w:t>
      </w:r>
    </w:p>
    <w:p w14:paraId="460BBD56" w14:textId="7948FAA7" w:rsidR="00434E80" w:rsidRDefault="0DED14D5" w:rsidP="015AD2CD">
      <w:pPr>
        <w:ind w:left="426"/>
        <w:jc w:val="both"/>
      </w:pPr>
      <w:r w:rsidRPr="015AD2CD">
        <w:rPr>
          <w:rFonts w:eastAsia="Arial" w:cs="Arial"/>
          <w:szCs w:val="24"/>
        </w:rPr>
        <w:t xml:space="preserve"> </w:t>
      </w:r>
    </w:p>
    <w:p w14:paraId="5B8E02D3" w14:textId="53C8EB03" w:rsidR="00434E80" w:rsidRDefault="0DED14D5" w:rsidP="015AD2CD">
      <w:pPr>
        <w:ind w:left="426"/>
        <w:jc w:val="both"/>
      </w:pPr>
      <w:r w:rsidRPr="015AD2CD">
        <w:rPr>
          <w:rFonts w:eastAsia="Arial" w:cs="Arial"/>
          <w:szCs w:val="24"/>
        </w:rPr>
        <w:t xml:space="preserve"> </w:t>
      </w:r>
    </w:p>
    <w:p w14:paraId="4EBE7F8D" w14:textId="0057AA14" w:rsidR="00434E80" w:rsidRDefault="0DED14D5" w:rsidP="015AD2CD">
      <w:pPr>
        <w:pStyle w:val="Prrafodelista"/>
        <w:numPr>
          <w:ilvl w:val="0"/>
          <w:numId w:val="1"/>
        </w:numPr>
        <w:spacing w:after="0"/>
        <w:ind w:left="567" w:hanging="567"/>
        <w:jc w:val="both"/>
        <w:rPr>
          <w:rFonts w:ascii="Arial" w:eastAsia="Arial" w:hAnsi="Arial" w:cs="Arial"/>
          <w:b/>
          <w:bCs/>
          <w:color w:val="000000" w:themeColor="text1"/>
          <w:sz w:val="24"/>
          <w:szCs w:val="24"/>
        </w:rPr>
      </w:pPr>
      <w:r w:rsidRPr="015AD2CD">
        <w:rPr>
          <w:rFonts w:ascii="Arial" w:eastAsia="Arial" w:hAnsi="Arial" w:cs="Arial"/>
          <w:b/>
          <w:bCs/>
          <w:color w:val="000000" w:themeColor="text1"/>
          <w:sz w:val="24"/>
          <w:szCs w:val="24"/>
        </w:rPr>
        <w:t>SECRETARIA DO MERCOSUL (SM)</w:t>
      </w:r>
    </w:p>
    <w:p w14:paraId="28FC75D9" w14:textId="03171526" w:rsidR="00434E80" w:rsidRDefault="0DED14D5" w:rsidP="015AD2CD">
      <w:pPr>
        <w:tabs>
          <w:tab w:val="left" w:pos="426"/>
          <w:tab w:val="left" w:pos="708"/>
          <w:tab w:val="left" w:pos="1416"/>
          <w:tab w:val="left" w:pos="2124"/>
          <w:tab w:val="left" w:pos="2832"/>
          <w:tab w:val="left" w:pos="3540"/>
          <w:tab w:val="left" w:pos="4248"/>
          <w:tab w:val="center" w:pos="4252"/>
          <w:tab w:val="left" w:pos="4956"/>
          <w:tab w:val="left" w:pos="5664"/>
          <w:tab w:val="left" w:pos="6372"/>
          <w:tab w:val="left" w:pos="7080"/>
          <w:tab w:val="left" w:pos="7788"/>
          <w:tab w:val="left" w:pos="8496"/>
          <w:tab w:val="right" w:pos="8504"/>
          <w:tab w:val="left" w:pos="8520"/>
        </w:tabs>
        <w:ind w:left="502"/>
        <w:jc w:val="both"/>
      </w:pPr>
      <w:r w:rsidRPr="015AD2CD">
        <w:rPr>
          <w:rFonts w:eastAsia="Arial" w:cs="Arial"/>
          <w:b/>
          <w:bCs/>
          <w:color w:val="000000" w:themeColor="text1"/>
          <w:szCs w:val="24"/>
        </w:rPr>
        <w:t xml:space="preserve"> </w:t>
      </w:r>
    </w:p>
    <w:p w14:paraId="62244946" w14:textId="4484DFFD" w:rsidR="00434E80" w:rsidRDefault="0DED14D5" w:rsidP="015AD2CD">
      <w:pPr>
        <w:pStyle w:val="Prrafodelista"/>
        <w:numPr>
          <w:ilvl w:val="1"/>
          <w:numId w:val="1"/>
        </w:numPr>
        <w:spacing w:after="0"/>
        <w:ind w:left="993" w:hanging="567"/>
        <w:jc w:val="both"/>
        <w:rPr>
          <w:rFonts w:ascii="Arial" w:eastAsia="Arial" w:hAnsi="Arial" w:cs="Arial"/>
          <w:b/>
          <w:bCs/>
          <w:color w:val="000000" w:themeColor="text1"/>
          <w:sz w:val="24"/>
          <w:szCs w:val="24"/>
        </w:rPr>
      </w:pPr>
      <w:r w:rsidRPr="015AD2CD">
        <w:rPr>
          <w:rFonts w:ascii="Arial" w:eastAsia="Arial" w:hAnsi="Arial" w:cs="Arial"/>
          <w:b/>
          <w:bCs/>
          <w:color w:val="000000" w:themeColor="text1"/>
          <w:sz w:val="24"/>
          <w:szCs w:val="24"/>
        </w:rPr>
        <w:t>Informes mensais sobre execução orçamentária e aportes recebidos – Execução orçamentária entre 01/04/2025 e 31/07/2025</w:t>
      </w:r>
    </w:p>
    <w:p w14:paraId="76D68F6D" w14:textId="1DC7A532" w:rsidR="00434E80" w:rsidRDefault="0DED14D5" w:rsidP="015AD2CD">
      <w:pPr>
        <w:tabs>
          <w:tab w:val="left" w:pos="426"/>
          <w:tab w:val="left" w:pos="708"/>
          <w:tab w:val="left" w:pos="1416"/>
          <w:tab w:val="left" w:pos="2124"/>
          <w:tab w:val="left" w:pos="2832"/>
          <w:tab w:val="left" w:pos="3540"/>
          <w:tab w:val="left" w:pos="4248"/>
          <w:tab w:val="center" w:pos="4252"/>
          <w:tab w:val="left" w:pos="4956"/>
          <w:tab w:val="left" w:pos="5664"/>
          <w:tab w:val="left" w:pos="6372"/>
          <w:tab w:val="left" w:pos="7080"/>
          <w:tab w:val="left" w:pos="7788"/>
          <w:tab w:val="left" w:pos="8496"/>
          <w:tab w:val="right" w:pos="8504"/>
          <w:tab w:val="left" w:pos="8520"/>
        </w:tabs>
        <w:ind w:left="502"/>
        <w:jc w:val="both"/>
      </w:pPr>
      <w:r w:rsidRPr="015AD2CD">
        <w:rPr>
          <w:rFonts w:eastAsia="Arial" w:cs="Arial"/>
          <w:b/>
          <w:bCs/>
          <w:color w:val="000000" w:themeColor="text1"/>
          <w:szCs w:val="24"/>
        </w:rPr>
        <w:t xml:space="preserve"> </w:t>
      </w:r>
    </w:p>
    <w:p w14:paraId="004D7ED4" w14:textId="153DD179" w:rsidR="00434E80" w:rsidRDefault="0DED14D5" w:rsidP="015AD2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20"/>
        </w:tabs>
        <w:jc w:val="both"/>
      </w:pPr>
      <w:r w:rsidRPr="015AD2CD">
        <w:rPr>
          <w:rFonts w:eastAsia="Arial" w:cs="Arial"/>
          <w:szCs w:val="24"/>
        </w:rPr>
        <w:t xml:space="preserve">O </w:t>
      </w:r>
      <w:r w:rsidRPr="015AD2CD">
        <w:rPr>
          <w:rFonts w:eastAsia="Arial" w:cs="Arial"/>
          <w:color w:val="000000" w:themeColor="text1"/>
          <w:szCs w:val="24"/>
        </w:rPr>
        <w:t xml:space="preserve">GAO recebeu o relatório de execução orçamentária relativo ao período de 1º de abril a 31 de julho de 2025, enviado pela nota </w:t>
      </w:r>
      <w:r w:rsidRPr="015AD2CD">
        <w:rPr>
          <w:rFonts w:eastAsia="Arial" w:cs="Arial"/>
          <w:szCs w:val="24"/>
        </w:rPr>
        <w:t xml:space="preserve">SM/604/25 de 15 de agosto </w:t>
      </w:r>
      <w:r w:rsidRPr="015AD2CD">
        <w:rPr>
          <w:rFonts w:eastAsia="Arial" w:cs="Arial"/>
          <w:color w:val="000000" w:themeColor="text1"/>
          <w:szCs w:val="24"/>
        </w:rPr>
        <w:t xml:space="preserve">de 2025 </w:t>
      </w:r>
      <w:r w:rsidRPr="015AD2CD">
        <w:rPr>
          <w:rFonts w:eastAsia="Arial" w:cs="Arial"/>
          <w:b/>
          <w:bCs/>
          <w:color w:val="000000" w:themeColor="text1"/>
          <w:szCs w:val="24"/>
        </w:rPr>
        <w:t>(Anexo IV)</w:t>
      </w:r>
      <w:r w:rsidRPr="015AD2CD">
        <w:rPr>
          <w:rFonts w:eastAsia="Arial" w:cs="Arial"/>
          <w:color w:val="000000" w:themeColor="text1"/>
          <w:szCs w:val="24"/>
        </w:rPr>
        <w:t>.</w:t>
      </w:r>
    </w:p>
    <w:p w14:paraId="1DEE93CD" w14:textId="0138F18F" w:rsidR="00434E80" w:rsidRDefault="0DED14D5" w:rsidP="015AD2CD">
      <w:pPr>
        <w:tabs>
          <w:tab w:val="left" w:pos="426"/>
          <w:tab w:val="left" w:pos="708"/>
          <w:tab w:val="left" w:pos="1416"/>
          <w:tab w:val="left" w:pos="2124"/>
          <w:tab w:val="left" w:pos="2832"/>
          <w:tab w:val="left" w:pos="3540"/>
          <w:tab w:val="left" w:pos="4248"/>
          <w:tab w:val="center" w:pos="4252"/>
          <w:tab w:val="left" w:pos="4956"/>
          <w:tab w:val="left" w:pos="5664"/>
          <w:tab w:val="left" w:pos="6372"/>
          <w:tab w:val="left" w:pos="7080"/>
          <w:tab w:val="left" w:pos="7788"/>
          <w:tab w:val="left" w:pos="8496"/>
          <w:tab w:val="right" w:pos="8504"/>
          <w:tab w:val="left" w:pos="8520"/>
        </w:tabs>
        <w:jc w:val="both"/>
      </w:pPr>
      <w:r w:rsidRPr="015AD2CD">
        <w:rPr>
          <w:rFonts w:eastAsia="Arial" w:cs="Arial"/>
          <w:b/>
          <w:bCs/>
          <w:color w:val="000000" w:themeColor="text1"/>
          <w:szCs w:val="24"/>
        </w:rPr>
        <w:t xml:space="preserve"> </w:t>
      </w:r>
    </w:p>
    <w:p w14:paraId="3B51E215" w14:textId="1300DDAF" w:rsidR="00434E80" w:rsidRDefault="0DED14D5" w:rsidP="004D0638">
      <w:pPr>
        <w:pStyle w:val="Prrafodelista"/>
        <w:numPr>
          <w:ilvl w:val="2"/>
          <w:numId w:val="1"/>
        </w:numPr>
        <w:spacing w:after="0" w:line="257" w:lineRule="auto"/>
        <w:ind w:left="1701" w:hanging="839"/>
        <w:jc w:val="both"/>
        <w:rPr>
          <w:rFonts w:ascii="Arial" w:eastAsia="Arial" w:hAnsi="Arial" w:cs="Arial"/>
          <w:b/>
          <w:bCs/>
          <w:color w:val="000000" w:themeColor="text1"/>
          <w:sz w:val="24"/>
          <w:szCs w:val="24"/>
        </w:rPr>
      </w:pPr>
      <w:r w:rsidRPr="015AD2CD">
        <w:rPr>
          <w:rFonts w:ascii="Arial" w:eastAsia="Arial" w:hAnsi="Arial" w:cs="Arial"/>
          <w:b/>
          <w:bCs/>
          <w:color w:val="000000" w:themeColor="text1"/>
          <w:sz w:val="24"/>
          <w:szCs w:val="24"/>
        </w:rPr>
        <w:t>Execução orçamentária mensal e acumulada</w:t>
      </w:r>
    </w:p>
    <w:p w14:paraId="3DCBA706" w14:textId="6F193A69" w:rsidR="00434E80" w:rsidRDefault="0DED14D5" w:rsidP="015AD2CD">
      <w:pPr>
        <w:tabs>
          <w:tab w:val="left" w:pos="426"/>
          <w:tab w:val="left" w:pos="708"/>
          <w:tab w:val="left" w:pos="1416"/>
          <w:tab w:val="left" w:pos="1701"/>
          <w:tab w:val="left" w:pos="2832"/>
          <w:tab w:val="left" w:pos="3540"/>
          <w:tab w:val="left" w:pos="4248"/>
          <w:tab w:val="center" w:pos="4252"/>
          <w:tab w:val="left" w:pos="4956"/>
          <w:tab w:val="left" w:pos="5664"/>
          <w:tab w:val="left" w:pos="6372"/>
          <w:tab w:val="left" w:pos="7080"/>
          <w:tab w:val="left" w:pos="7788"/>
          <w:tab w:val="left" w:pos="8496"/>
          <w:tab w:val="right" w:pos="8504"/>
          <w:tab w:val="left" w:pos="8520"/>
        </w:tabs>
        <w:spacing w:line="257" w:lineRule="auto"/>
        <w:ind w:left="1366"/>
        <w:jc w:val="both"/>
      </w:pPr>
      <w:r w:rsidRPr="015AD2CD">
        <w:rPr>
          <w:rFonts w:eastAsia="Arial" w:cs="Arial"/>
          <w:b/>
          <w:bCs/>
          <w:color w:val="000000" w:themeColor="text1"/>
          <w:szCs w:val="24"/>
        </w:rPr>
        <w:t xml:space="preserve"> </w:t>
      </w:r>
    </w:p>
    <w:p w14:paraId="6B4BEEBA" w14:textId="50DB3FC8" w:rsidR="00434E80" w:rsidRDefault="0DED14D5" w:rsidP="015AD2CD">
      <w:pPr>
        <w:tabs>
          <w:tab w:val="left" w:pos="426"/>
          <w:tab w:val="left" w:pos="1701"/>
          <w:tab w:val="center" w:pos="4252"/>
          <w:tab w:val="right" w:pos="8504"/>
          <w:tab w:val="left" w:pos="8520"/>
        </w:tabs>
        <w:spacing w:line="257" w:lineRule="auto"/>
        <w:jc w:val="both"/>
      </w:pPr>
      <w:r w:rsidRPr="015AD2CD">
        <w:rPr>
          <w:rFonts w:eastAsia="Arial" w:cs="Arial"/>
          <w:szCs w:val="24"/>
        </w:rPr>
        <w:t>O GAO recebeu as planilhas de execução orçamentária mensal e acumulada da SM até 30 de abril (nota SM/356/25 de 9 de maio de 2025), até 31 de maio (nota SM/462/25 de 20 de junho de 2025), até 30 de junho (nota SM/522/25 de 17 de julho de 2025), e até 31 de julho de 2025 (nota SM/604/25 de 15 de agosto de 2025), referentes ao orçamento de US$ 3.827.312 aprovado para o exercício 2025</w:t>
      </w:r>
      <w:r w:rsidRPr="015AD2CD">
        <w:rPr>
          <w:rFonts w:eastAsia="Arial" w:cs="Arial"/>
          <w:color w:val="EE0000"/>
          <w:szCs w:val="24"/>
        </w:rPr>
        <w:t xml:space="preserve"> </w:t>
      </w:r>
      <w:r w:rsidRPr="015AD2CD">
        <w:rPr>
          <w:rFonts w:eastAsia="Arial" w:cs="Arial"/>
          <w:b/>
          <w:bCs/>
          <w:szCs w:val="24"/>
        </w:rPr>
        <w:t>(Anexo V)</w:t>
      </w:r>
      <w:r w:rsidRPr="015AD2CD">
        <w:rPr>
          <w:rFonts w:eastAsia="Arial" w:cs="Arial"/>
          <w:szCs w:val="24"/>
        </w:rPr>
        <w:t>.</w:t>
      </w:r>
    </w:p>
    <w:p w14:paraId="34B3AAA9" w14:textId="0E9F66A8" w:rsidR="00434E80" w:rsidRDefault="0DED14D5" w:rsidP="015AD2CD">
      <w:pPr>
        <w:tabs>
          <w:tab w:val="left" w:pos="426"/>
          <w:tab w:val="left" w:pos="1701"/>
          <w:tab w:val="center" w:pos="4252"/>
          <w:tab w:val="right" w:pos="8504"/>
          <w:tab w:val="left" w:pos="8520"/>
        </w:tabs>
        <w:spacing w:line="257" w:lineRule="auto"/>
        <w:jc w:val="both"/>
      </w:pPr>
      <w:r w:rsidRPr="015AD2CD">
        <w:rPr>
          <w:rFonts w:eastAsia="Arial" w:cs="Arial"/>
          <w:color w:val="EE0000"/>
          <w:szCs w:val="24"/>
        </w:rPr>
        <w:t xml:space="preserve"> </w:t>
      </w:r>
    </w:p>
    <w:p w14:paraId="40CAED9C" w14:textId="26990A53" w:rsidR="00434E80" w:rsidRDefault="0DED14D5" w:rsidP="015AD2CD">
      <w:pPr>
        <w:tabs>
          <w:tab w:val="left" w:pos="426"/>
          <w:tab w:val="left" w:pos="1701"/>
          <w:tab w:val="center" w:pos="4252"/>
          <w:tab w:val="right" w:pos="8504"/>
          <w:tab w:val="left" w:pos="8520"/>
        </w:tabs>
        <w:spacing w:line="257" w:lineRule="auto"/>
        <w:jc w:val="both"/>
      </w:pPr>
      <w:r w:rsidRPr="015AD2CD">
        <w:rPr>
          <w:rFonts w:eastAsia="Arial" w:cs="Arial"/>
          <w:szCs w:val="24"/>
        </w:rPr>
        <w:lastRenderedPageBreak/>
        <w:t>A execução orçamentária até 30 de abril de 2025 correspondeu a US$ 1.118.177 e representa 29% do total aprovado para o exercício de 2025.</w:t>
      </w:r>
    </w:p>
    <w:p w14:paraId="258ED34F" w14:textId="0BF01DF3" w:rsidR="00434E80" w:rsidRDefault="0DED14D5" w:rsidP="015AD2CD">
      <w:pPr>
        <w:tabs>
          <w:tab w:val="left" w:pos="426"/>
          <w:tab w:val="left" w:pos="1701"/>
          <w:tab w:val="center" w:pos="4252"/>
          <w:tab w:val="right" w:pos="8504"/>
          <w:tab w:val="left" w:pos="8520"/>
        </w:tabs>
        <w:spacing w:line="257" w:lineRule="auto"/>
        <w:jc w:val="both"/>
      </w:pPr>
      <w:r w:rsidRPr="015AD2CD">
        <w:rPr>
          <w:rFonts w:eastAsia="Arial" w:cs="Arial"/>
          <w:color w:val="EE0000"/>
          <w:szCs w:val="24"/>
        </w:rPr>
        <w:t xml:space="preserve"> </w:t>
      </w:r>
    </w:p>
    <w:p w14:paraId="01FE27AD" w14:textId="448DAC30" w:rsidR="00434E80" w:rsidRDefault="0DED14D5" w:rsidP="015AD2CD">
      <w:pPr>
        <w:tabs>
          <w:tab w:val="left" w:pos="426"/>
          <w:tab w:val="left" w:pos="1701"/>
          <w:tab w:val="center" w:pos="4252"/>
          <w:tab w:val="right" w:pos="8504"/>
          <w:tab w:val="left" w:pos="8520"/>
        </w:tabs>
        <w:spacing w:line="257" w:lineRule="auto"/>
        <w:jc w:val="both"/>
      </w:pPr>
      <w:r w:rsidRPr="015AD2CD">
        <w:rPr>
          <w:rFonts w:eastAsia="Arial" w:cs="Arial"/>
          <w:szCs w:val="24"/>
        </w:rPr>
        <w:t>A execução orçamentária até 31 de maio de 2025 correspondeu a US$ 1.399.885 e representa 37% do total aprovado para o exercício de 2025.</w:t>
      </w:r>
    </w:p>
    <w:p w14:paraId="5E6ADD0A" w14:textId="47AC4C80" w:rsidR="00434E80" w:rsidRDefault="0DED14D5" w:rsidP="015AD2CD">
      <w:pPr>
        <w:tabs>
          <w:tab w:val="left" w:pos="426"/>
          <w:tab w:val="left" w:pos="1701"/>
          <w:tab w:val="center" w:pos="4252"/>
          <w:tab w:val="right" w:pos="8504"/>
          <w:tab w:val="left" w:pos="8520"/>
        </w:tabs>
        <w:spacing w:line="257" w:lineRule="auto"/>
        <w:jc w:val="both"/>
      </w:pPr>
      <w:r w:rsidRPr="015AD2CD">
        <w:rPr>
          <w:rFonts w:eastAsia="Arial" w:cs="Arial"/>
          <w:color w:val="EE0000"/>
          <w:szCs w:val="24"/>
        </w:rPr>
        <w:t xml:space="preserve"> </w:t>
      </w:r>
    </w:p>
    <w:p w14:paraId="16C94A91" w14:textId="25BBF9EA" w:rsidR="00434E80" w:rsidRDefault="0DED14D5" w:rsidP="015AD2CD">
      <w:pPr>
        <w:tabs>
          <w:tab w:val="left" w:pos="426"/>
          <w:tab w:val="left" w:pos="1701"/>
          <w:tab w:val="center" w:pos="4252"/>
          <w:tab w:val="right" w:pos="8504"/>
          <w:tab w:val="left" w:pos="8520"/>
        </w:tabs>
        <w:spacing w:line="257" w:lineRule="auto"/>
        <w:jc w:val="both"/>
      </w:pPr>
      <w:r w:rsidRPr="015AD2CD">
        <w:rPr>
          <w:rFonts w:eastAsia="Arial" w:cs="Arial"/>
          <w:szCs w:val="24"/>
        </w:rPr>
        <w:t>A execução orçamentária até 30 de junho de 2025 correspondeu a US$ 1.691.056 e representa 44% do total aprovado para o exercício de 2025.</w:t>
      </w:r>
    </w:p>
    <w:p w14:paraId="24A66304" w14:textId="445A5215" w:rsidR="00434E80" w:rsidRDefault="0DED14D5" w:rsidP="015AD2CD">
      <w:pPr>
        <w:tabs>
          <w:tab w:val="left" w:pos="426"/>
          <w:tab w:val="left" w:pos="1701"/>
          <w:tab w:val="center" w:pos="4252"/>
          <w:tab w:val="right" w:pos="8504"/>
          <w:tab w:val="left" w:pos="8520"/>
        </w:tabs>
        <w:spacing w:line="257" w:lineRule="auto"/>
        <w:jc w:val="both"/>
      </w:pPr>
      <w:r w:rsidRPr="015AD2CD">
        <w:rPr>
          <w:rFonts w:eastAsia="Arial" w:cs="Arial"/>
          <w:color w:val="EE0000"/>
          <w:szCs w:val="24"/>
        </w:rPr>
        <w:t xml:space="preserve"> </w:t>
      </w:r>
    </w:p>
    <w:p w14:paraId="11A22945" w14:textId="7BD8B916" w:rsidR="00434E80" w:rsidRDefault="0DED14D5" w:rsidP="015AD2CD">
      <w:pPr>
        <w:tabs>
          <w:tab w:val="left" w:pos="426"/>
          <w:tab w:val="left" w:pos="1701"/>
          <w:tab w:val="center" w:pos="4252"/>
          <w:tab w:val="right" w:pos="8504"/>
          <w:tab w:val="left" w:pos="8520"/>
        </w:tabs>
        <w:spacing w:line="257" w:lineRule="auto"/>
        <w:jc w:val="both"/>
      </w:pPr>
      <w:r w:rsidRPr="015AD2CD">
        <w:rPr>
          <w:rFonts w:eastAsia="Arial" w:cs="Arial"/>
          <w:szCs w:val="24"/>
        </w:rPr>
        <w:t>A execução orçamentária até 31 de julho de 2025 correspondeu a US$ 1.968.012 e representa 51% do total aprovado para o exercício de 2025.</w:t>
      </w:r>
    </w:p>
    <w:p w14:paraId="7798D008" w14:textId="2CAADAD4" w:rsidR="00434E80" w:rsidRDefault="0DED14D5" w:rsidP="015AD2CD">
      <w:pPr>
        <w:tabs>
          <w:tab w:val="left" w:pos="426"/>
          <w:tab w:val="left" w:pos="708"/>
          <w:tab w:val="left" w:pos="1416"/>
          <w:tab w:val="left" w:pos="1701"/>
          <w:tab w:val="left" w:pos="2832"/>
          <w:tab w:val="left" w:pos="3540"/>
          <w:tab w:val="left" w:pos="4248"/>
          <w:tab w:val="center" w:pos="4252"/>
          <w:tab w:val="left" w:pos="4956"/>
          <w:tab w:val="left" w:pos="5664"/>
          <w:tab w:val="left" w:pos="6372"/>
          <w:tab w:val="left" w:pos="7080"/>
          <w:tab w:val="left" w:pos="7788"/>
          <w:tab w:val="left" w:pos="8496"/>
          <w:tab w:val="right" w:pos="8504"/>
          <w:tab w:val="left" w:pos="8520"/>
        </w:tabs>
        <w:spacing w:line="257" w:lineRule="auto"/>
        <w:ind w:left="1366"/>
        <w:jc w:val="both"/>
      </w:pPr>
      <w:r w:rsidRPr="015AD2CD">
        <w:rPr>
          <w:rFonts w:eastAsia="Arial" w:cs="Arial"/>
          <w:b/>
          <w:bCs/>
          <w:color w:val="000000" w:themeColor="text1"/>
          <w:szCs w:val="24"/>
        </w:rPr>
        <w:t xml:space="preserve"> </w:t>
      </w:r>
    </w:p>
    <w:p w14:paraId="1BA573CC" w14:textId="05D26BAA" w:rsidR="00434E80" w:rsidRDefault="0DED14D5" w:rsidP="015AD2CD">
      <w:pPr>
        <w:pStyle w:val="Prrafodelista"/>
        <w:numPr>
          <w:ilvl w:val="2"/>
          <w:numId w:val="1"/>
        </w:numPr>
        <w:spacing w:after="0" w:line="257" w:lineRule="auto"/>
        <w:ind w:left="1701" w:hanging="839"/>
        <w:jc w:val="both"/>
        <w:rPr>
          <w:rFonts w:ascii="Arial" w:eastAsia="Arial" w:hAnsi="Arial" w:cs="Arial"/>
          <w:b/>
          <w:bCs/>
          <w:color w:val="000000" w:themeColor="text1"/>
          <w:sz w:val="24"/>
          <w:szCs w:val="24"/>
        </w:rPr>
      </w:pPr>
      <w:r w:rsidRPr="015AD2CD">
        <w:rPr>
          <w:rFonts w:ascii="Arial" w:eastAsia="Arial" w:hAnsi="Arial" w:cs="Arial"/>
          <w:b/>
          <w:bCs/>
          <w:color w:val="000000" w:themeColor="text1"/>
          <w:sz w:val="24"/>
          <w:szCs w:val="24"/>
        </w:rPr>
        <w:t>Execução orçamentária mensal e acumulada do uso de excedentes</w:t>
      </w:r>
    </w:p>
    <w:p w14:paraId="1264F3D1" w14:textId="4DFDF4C7" w:rsidR="00434E80" w:rsidRDefault="0DED14D5" w:rsidP="015AD2CD">
      <w:pPr>
        <w:tabs>
          <w:tab w:val="left" w:pos="426"/>
          <w:tab w:val="left" w:pos="1701"/>
        </w:tabs>
        <w:jc w:val="both"/>
      </w:pPr>
      <w:r w:rsidRPr="015AD2CD">
        <w:rPr>
          <w:rFonts w:eastAsia="Arial" w:cs="Arial"/>
          <w:b/>
          <w:bCs/>
          <w:color w:val="000000" w:themeColor="text1"/>
          <w:szCs w:val="24"/>
        </w:rPr>
        <w:t xml:space="preserve"> </w:t>
      </w:r>
    </w:p>
    <w:p w14:paraId="098CC627" w14:textId="22A1EE39" w:rsidR="00434E80" w:rsidRDefault="0DED14D5" w:rsidP="015AD2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520"/>
        </w:tabs>
        <w:jc w:val="both"/>
      </w:pPr>
      <w:r w:rsidRPr="015AD2CD">
        <w:rPr>
          <w:rFonts w:eastAsia="Arial" w:cs="Arial"/>
          <w:szCs w:val="24"/>
        </w:rPr>
        <w:t>O GAO solicitou à SM que cumpra o previsto no terceiro parágrafo do Capítulo III do Título IV do anexo da Res. GMC Nº 60/18 relativo ao quadro II, cujo modelo consta no Apêndice II da referida Resolução.</w:t>
      </w:r>
    </w:p>
    <w:p w14:paraId="792CD2A3" w14:textId="3581F446" w:rsidR="00434E80" w:rsidRDefault="0DED14D5" w:rsidP="015AD2CD">
      <w:pPr>
        <w:tabs>
          <w:tab w:val="left" w:pos="426"/>
          <w:tab w:val="left" w:pos="708"/>
          <w:tab w:val="left" w:pos="1701"/>
          <w:tab w:val="left" w:pos="2832"/>
          <w:tab w:val="left" w:pos="3540"/>
          <w:tab w:val="left" w:pos="4248"/>
          <w:tab w:val="center" w:pos="4252"/>
          <w:tab w:val="left" w:pos="4956"/>
          <w:tab w:val="left" w:pos="5664"/>
          <w:tab w:val="left" w:pos="6372"/>
          <w:tab w:val="left" w:pos="7080"/>
          <w:tab w:val="left" w:pos="7788"/>
          <w:tab w:val="left" w:pos="8496"/>
          <w:tab w:val="right" w:pos="8504"/>
          <w:tab w:val="left" w:pos="8520"/>
        </w:tabs>
        <w:jc w:val="both"/>
      </w:pPr>
      <w:r w:rsidRPr="015AD2CD">
        <w:rPr>
          <w:rFonts w:eastAsia="Arial" w:cs="Arial"/>
          <w:b/>
          <w:bCs/>
          <w:color w:val="000000" w:themeColor="text1"/>
          <w:szCs w:val="24"/>
        </w:rPr>
        <w:t xml:space="preserve"> </w:t>
      </w:r>
    </w:p>
    <w:p w14:paraId="754982B1" w14:textId="04F86385" w:rsidR="00434E80" w:rsidRDefault="0DED14D5" w:rsidP="004D0638">
      <w:pPr>
        <w:pStyle w:val="Prrafodelista"/>
        <w:numPr>
          <w:ilvl w:val="2"/>
          <w:numId w:val="1"/>
        </w:numPr>
        <w:spacing w:after="0" w:line="257" w:lineRule="auto"/>
        <w:ind w:left="1701" w:hanging="839"/>
        <w:jc w:val="both"/>
        <w:rPr>
          <w:rFonts w:ascii="Arial" w:eastAsia="Arial" w:hAnsi="Arial" w:cs="Arial"/>
          <w:b/>
          <w:bCs/>
          <w:color w:val="000000" w:themeColor="text1"/>
          <w:sz w:val="24"/>
          <w:szCs w:val="24"/>
        </w:rPr>
      </w:pPr>
      <w:r w:rsidRPr="015AD2CD">
        <w:rPr>
          <w:rFonts w:ascii="Arial" w:eastAsia="Arial" w:hAnsi="Arial" w:cs="Arial"/>
          <w:b/>
          <w:bCs/>
          <w:color w:val="000000" w:themeColor="text1"/>
          <w:sz w:val="24"/>
          <w:szCs w:val="24"/>
        </w:rPr>
        <w:t>Estado de situação dos aportes dos Estados Partes</w:t>
      </w:r>
    </w:p>
    <w:p w14:paraId="206FB3B8" w14:textId="6E63FBE8" w:rsidR="00434E80" w:rsidRDefault="0DED14D5" w:rsidP="015AD2CD">
      <w:pPr>
        <w:tabs>
          <w:tab w:val="left" w:pos="426"/>
          <w:tab w:val="left" w:pos="708"/>
          <w:tab w:val="left" w:pos="1416"/>
          <w:tab w:val="left" w:pos="1701"/>
          <w:tab w:val="left" w:pos="2124"/>
          <w:tab w:val="left" w:pos="2832"/>
          <w:tab w:val="left" w:pos="3540"/>
          <w:tab w:val="left" w:pos="4248"/>
          <w:tab w:val="center" w:pos="4252"/>
          <w:tab w:val="left" w:pos="4956"/>
          <w:tab w:val="left" w:pos="5664"/>
          <w:tab w:val="left" w:pos="6372"/>
          <w:tab w:val="left" w:pos="7080"/>
          <w:tab w:val="left" w:pos="7788"/>
          <w:tab w:val="left" w:pos="8496"/>
          <w:tab w:val="right" w:pos="8504"/>
          <w:tab w:val="left" w:pos="8520"/>
        </w:tabs>
        <w:jc w:val="both"/>
      </w:pPr>
      <w:r w:rsidRPr="015AD2CD">
        <w:rPr>
          <w:rFonts w:eastAsia="Arial" w:cs="Arial"/>
          <w:b/>
          <w:bCs/>
          <w:color w:val="000000" w:themeColor="text1"/>
          <w:szCs w:val="24"/>
        </w:rPr>
        <w:t xml:space="preserve"> </w:t>
      </w:r>
    </w:p>
    <w:p w14:paraId="2157EB0B" w14:textId="19522BF0" w:rsidR="00434E80" w:rsidRDefault="0DED14D5" w:rsidP="015AD2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20"/>
        </w:tabs>
        <w:jc w:val="both"/>
      </w:pPr>
      <w:r w:rsidRPr="015AD2CD">
        <w:rPr>
          <w:rFonts w:eastAsia="Arial" w:cs="Arial"/>
          <w:szCs w:val="24"/>
        </w:rPr>
        <w:t xml:space="preserve">O GAO tomou nota das contribuições dos Estados Partes à SM até 31 de julho de 2025, conforme o informado pela nota SM/604/25 </w:t>
      </w:r>
      <w:r w:rsidRPr="015AD2CD">
        <w:rPr>
          <w:rFonts w:eastAsia="Arial" w:cs="Arial"/>
          <w:b/>
          <w:bCs/>
          <w:szCs w:val="24"/>
        </w:rPr>
        <w:t>(Anexo VI)</w:t>
      </w:r>
      <w:r w:rsidRPr="015AD2CD">
        <w:rPr>
          <w:rFonts w:eastAsia="Arial" w:cs="Arial"/>
          <w:szCs w:val="24"/>
        </w:rPr>
        <w:t>.</w:t>
      </w:r>
    </w:p>
    <w:p w14:paraId="16B299C3" w14:textId="7E33E41E" w:rsidR="00434E80" w:rsidRDefault="0DED14D5" w:rsidP="015AD2CD">
      <w:pPr>
        <w:tabs>
          <w:tab w:val="left" w:pos="426"/>
          <w:tab w:val="left" w:pos="708"/>
          <w:tab w:val="left" w:pos="1416"/>
          <w:tab w:val="left" w:pos="1701"/>
          <w:tab w:val="left" w:pos="2124"/>
          <w:tab w:val="left" w:pos="2832"/>
          <w:tab w:val="left" w:pos="3540"/>
          <w:tab w:val="left" w:pos="4248"/>
          <w:tab w:val="center" w:pos="4252"/>
          <w:tab w:val="left" w:pos="4956"/>
          <w:tab w:val="left" w:pos="5664"/>
          <w:tab w:val="left" w:pos="6372"/>
          <w:tab w:val="left" w:pos="7080"/>
          <w:tab w:val="left" w:pos="7788"/>
          <w:tab w:val="left" w:pos="8496"/>
          <w:tab w:val="right" w:pos="8504"/>
          <w:tab w:val="left" w:pos="8520"/>
        </w:tabs>
        <w:jc w:val="both"/>
      </w:pPr>
      <w:r w:rsidRPr="015AD2CD">
        <w:rPr>
          <w:rFonts w:eastAsia="Arial" w:cs="Arial"/>
          <w:b/>
          <w:bCs/>
          <w:color w:val="000000" w:themeColor="text1"/>
          <w:szCs w:val="24"/>
        </w:rPr>
        <w:t xml:space="preserve"> </w:t>
      </w:r>
    </w:p>
    <w:p w14:paraId="63AEE4CB" w14:textId="6014AD22" w:rsidR="00434E80" w:rsidRDefault="0DED14D5" w:rsidP="004D0638">
      <w:pPr>
        <w:pStyle w:val="Prrafodelista"/>
        <w:numPr>
          <w:ilvl w:val="2"/>
          <w:numId w:val="1"/>
        </w:numPr>
        <w:spacing w:after="0" w:line="257" w:lineRule="auto"/>
        <w:ind w:left="1701" w:hanging="839"/>
        <w:jc w:val="both"/>
        <w:rPr>
          <w:rFonts w:ascii="Arial" w:eastAsia="Arial" w:hAnsi="Arial" w:cs="Arial"/>
          <w:b/>
          <w:bCs/>
          <w:color w:val="000000" w:themeColor="text1"/>
          <w:sz w:val="24"/>
          <w:szCs w:val="24"/>
        </w:rPr>
      </w:pPr>
      <w:r w:rsidRPr="015AD2CD">
        <w:rPr>
          <w:rFonts w:ascii="Arial" w:eastAsia="Arial" w:hAnsi="Arial" w:cs="Arial"/>
          <w:b/>
          <w:bCs/>
          <w:color w:val="000000" w:themeColor="text1"/>
          <w:sz w:val="24"/>
          <w:szCs w:val="24"/>
        </w:rPr>
        <w:t>Excedentes acumulados contábeis, líquidos e disponíveis</w:t>
      </w:r>
    </w:p>
    <w:p w14:paraId="695C8CC3" w14:textId="10D94574" w:rsidR="00434E80" w:rsidRDefault="0DED14D5" w:rsidP="015AD2CD">
      <w:r w:rsidRPr="015AD2CD">
        <w:rPr>
          <w:rFonts w:eastAsia="Arial" w:cs="Arial"/>
          <w:b/>
          <w:bCs/>
          <w:color w:val="000000" w:themeColor="text1"/>
          <w:szCs w:val="24"/>
        </w:rPr>
        <w:t xml:space="preserve"> </w:t>
      </w:r>
    </w:p>
    <w:p w14:paraId="05CBB357" w14:textId="377E6610" w:rsidR="00434E80" w:rsidRDefault="0DED14D5" w:rsidP="015AD2CD">
      <w:pPr>
        <w:jc w:val="both"/>
      </w:pPr>
      <w:r w:rsidRPr="015AD2CD">
        <w:rPr>
          <w:rFonts w:eastAsia="Arial" w:cs="Arial"/>
          <w:color w:val="000000" w:themeColor="text1"/>
          <w:szCs w:val="24"/>
        </w:rPr>
        <w:t xml:space="preserve">O GAO tomou nota dos quadros sobre o estado dos recursos excedentes anuais da SM e sua utilização até 31 de julho de 2025 (nota SM/604/25) </w:t>
      </w:r>
      <w:r w:rsidRPr="015AD2CD">
        <w:rPr>
          <w:rFonts w:eastAsia="Arial" w:cs="Arial"/>
          <w:b/>
          <w:bCs/>
          <w:color w:val="000000" w:themeColor="text1"/>
          <w:szCs w:val="24"/>
        </w:rPr>
        <w:t>(Anexo VII).</w:t>
      </w:r>
    </w:p>
    <w:p w14:paraId="468DAAED" w14:textId="6F7672D8" w:rsidR="00434E80" w:rsidRDefault="0DED14D5" w:rsidP="015AD2CD">
      <w:pPr>
        <w:tabs>
          <w:tab w:val="left" w:pos="426"/>
          <w:tab w:val="left" w:pos="708"/>
          <w:tab w:val="left" w:pos="1416"/>
          <w:tab w:val="left" w:pos="1701"/>
          <w:tab w:val="left" w:pos="2124"/>
          <w:tab w:val="left" w:pos="2832"/>
          <w:tab w:val="left" w:pos="3540"/>
          <w:tab w:val="left" w:pos="4248"/>
          <w:tab w:val="center" w:pos="4252"/>
          <w:tab w:val="left" w:pos="4956"/>
          <w:tab w:val="left" w:pos="5664"/>
          <w:tab w:val="left" w:pos="6372"/>
          <w:tab w:val="left" w:pos="7080"/>
          <w:tab w:val="left" w:pos="7788"/>
          <w:tab w:val="left" w:pos="8496"/>
          <w:tab w:val="right" w:pos="8504"/>
          <w:tab w:val="left" w:pos="8520"/>
        </w:tabs>
        <w:jc w:val="both"/>
      </w:pPr>
      <w:r w:rsidRPr="015AD2CD">
        <w:rPr>
          <w:rFonts w:eastAsia="Arial" w:cs="Arial"/>
          <w:b/>
          <w:bCs/>
          <w:color w:val="000000" w:themeColor="text1"/>
          <w:szCs w:val="24"/>
        </w:rPr>
        <w:t xml:space="preserve"> </w:t>
      </w:r>
    </w:p>
    <w:p w14:paraId="6A3B92D4" w14:textId="2416FE83" w:rsidR="00434E80" w:rsidRDefault="0DED14D5" w:rsidP="015AD2CD">
      <w:pPr>
        <w:pStyle w:val="Prrafodelista"/>
        <w:numPr>
          <w:ilvl w:val="2"/>
          <w:numId w:val="1"/>
        </w:numPr>
        <w:spacing w:after="0" w:line="257" w:lineRule="auto"/>
        <w:ind w:left="1701" w:hanging="839"/>
        <w:jc w:val="both"/>
        <w:rPr>
          <w:rFonts w:ascii="Arial" w:eastAsia="Arial" w:hAnsi="Arial" w:cs="Arial"/>
          <w:b/>
          <w:bCs/>
          <w:color w:val="000000" w:themeColor="text1"/>
          <w:sz w:val="24"/>
          <w:szCs w:val="24"/>
        </w:rPr>
      </w:pPr>
      <w:r w:rsidRPr="015AD2CD">
        <w:rPr>
          <w:rFonts w:ascii="Arial" w:eastAsia="Arial" w:hAnsi="Arial" w:cs="Arial"/>
          <w:b/>
          <w:bCs/>
          <w:color w:val="000000" w:themeColor="text1"/>
          <w:sz w:val="24"/>
          <w:szCs w:val="24"/>
        </w:rPr>
        <w:t>Conciliação de excedentes líquidos com as contas bancárias</w:t>
      </w:r>
    </w:p>
    <w:p w14:paraId="7467D3DD" w14:textId="048F1A80" w:rsidR="00434E80" w:rsidRDefault="0DED14D5" w:rsidP="015AD2CD">
      <w:pPr>
        <w:tabs>
          <w:tab w:val="left" w:pos="426"/>
          <w:tab w:val="left" w:pos="708"/>
          <w:tab w:val="left" w:pos="1416"/>
          <w:tab w:val="left" w:pos="2124"/>
          <w:tab w:val="left" w:pos="2832"/>
          <w:tab w:val="left" w:pos="3540"/>
          <w:tab w:val="left" w:pos="4248"/>
          <w:tab w:val="center" w:pos="4252"/>
          <w:tab w:val="left" w:pos="4956"/>
          <w:tab w:val="left" w:pos="5664"/>
          <w:tab w:val="left" w:pos="6372"/>
          <w:tab w:val="left" w:pos="7080"/>
          <w:tab w:val="left" w:pos="7788"/>
          <w:tab w:val="left" w:pos="8496"/>
          <w:tab w:val="right" w:pos="8504"/>
          <w:tab w:val="left" w:pos="8520"/>
        </w:tabs>
        <w:ind w:left="502"/>
        <w:jc w:val="both"/>
      </w:pPr>
      <w:r w:rsidRPr="015AD2CD">
        <w:rPr>
          <w:rFonts w:eastAsia="Arial" w:cs="Arial"/>
          <w:b/>
          <w:bCs/>
          <w:color w:val="000000" w:themeColor="text1"/>
          <w:szCs w:val="24"/>
        </w:rPr>
        <w:t xml:space="preserve"> </w:t>
      </w:r>
    </w:p>
    <w:p w14:paraId="3EE0D59C" w14:textId="04C85FB8" w:rsidR="00434E80" w:rsidRDefault="0DED14D5" w:rsidP="015AD2CD">
      <w:pPr>
        <w:jc w:val="both"/>
      </w:pPr>
      <w:r w:rsidRPr="015AD2CD">
        <w:rPr>
          <w:rFonts w:eastAsia="Arial" w:cs="Arial"/>
          <w:szCs w:val="24"/>
        </w:rPr>
        <w:t xml:space="preserve">O GAO tomou nota dos quadros do total de excedentes disponíveis nas contas bancárias da SM em 31 de julho de 2025 (nota SM/604/25) </w:t>
      </w:r>
      <w:r w:rsidRPr="015AD2CD">
        <w:rPr>
          <w:rFonts w:eastAsia="Arial" w:cs="Arial"/>
          <w:b/>
          <w:bCs/>
          <w:szCs w:val="24"/>
        </w:rPr>
        <w:t>(Anexo VIII)</w:t>
      </w:r>
      <w:r w:rsidRPr="015AD2CD">
        <w:rPr>
          <w:rFonts w:eastAsia="Arial" w:cs="Arial"/>
          <w:szCs w:val="24"/>
        </w:rPr>
        <w:t>.</w:t>
      </w:r>
    </w:p>
    <w:p w14:paraId="148BB3B6" w14:textId="52759C4E" w:rsidR="00434E80" w:rsidRDefault="0DED14D5" w:rsidP="015AD2CD">
      <w:pPr>
        <w:jc w:val="both"/>
      </w:pPr>
      <w:r w:rsidRPr="015AD2CD">
        <w:rPr>
          <w:rFonts w:eastAsia="Arial" w:cs="Arial"/>
          <w:szCs w:val="24"/>
        </w:rPr>
        <w:t xml:space="preserve"> </w:t>
      </w:r>
    </w:p>
    <w:p w14:paraId="4A2ABE53" w14:textId="5CC76566" w:rsidR="00434E80" w:rsidRDefault="0DED14D5" w:rsidP="015AD2CD">
      <w:pPr>
        <w:jc w:val="both"/>
      </w:pPr>
      <w:r w:rsidRPr="015AD2CD">
        <w:rPr>
          <w:rFonts w:eastAsia="Arial" w:cs="Arial"/>
          <w:szCs w:val="24"/>
        </w:rPr>
        <w:t>Tais excedentes totalizam, em 31 de julho de 2025, US$ 2.006.297.</w:t>
      </w:r>
    </w:p>
    <w:p w14:paraId="1BA06BBA" w14:textId="507662B7" w:rsidR="00434E80" w:rsidRDefault="00434E80" w:rsidP="004D0638">
      <w:pPr>
        <w:jc w:val="both"/>
      </w:pPr>
    </w:p>
    <w:p w14:paraId="694BC8DA" w14:textId="77777777" w:rsidR="004D0638" w:rsidRDefault="004D0638" w:rsidP="004D0638">
      <w:pPr>
        <w:jc w:val="both"/>
      </w:pPr>
    </w:p>
    <w:p w14:paraId="0A0E2EFB" w14:textId="4DBD28A0" w:rsidR="00434E80" w:rsidRDefault="0DED14D5" w:rsidP="015AD2CD">
      <w:pPr>
        <w:pStyle w:val="Prrafodelista"/>
        <w:numPr>
          <w:ilvl w:val="0"/>
          <w:numId w:val="1"/>
        </w:numPr>
        <w:spacing w:after="0"/>
        <w:ind w:left="567" w:hanging="567"/>
        <w:jc w:val="both"/>
        <w:rPr>
          <w:rFonts w:ascii="Arial" w:eastAsia="Arial" w:hAnsi="Arial" w:cs="Arial"/>
          <w:b/>
          <w:bCs/>
          <w:color w:val="000000" w:themeColor="text1"/>
          <w:sz w:val="24"/>
          <w:szCs w:val="24"/>
        </w:rPr>
      </w:pPr>
      <w:r w:rsidRPr="015AD2CD">
        <w:rPr>
          <w:rFonts w:ascii="Arial" w:eastAsia="Arial" w:hAnsi="Arial" w:cs="Arial"/>
          <w:b/>
          <w:bCs/>
          <w:color w:val="000000" w:themeColor="text1"/>
          <w:sz w:val="24"/>
          <w:szCs w:val="24"/>
        </w:rPr>
        <w:t>SECRETARIA DO TRIBUNAL PERMANENTE DE REVISÃO (ST)</w:t>
      </w:r>
    </w:p>
    <w:p w14:paraId="0C541006" w14:textId="5535916B" w:rsidR="00434E80" w:rsidRDefault="0DED14D5" w:rsidP="015AD2CD">
      <w:pPr>
        <w:ind w:left="426"/>
        <w:jc w:val="both"/>
      </w:pPr>
      <w:r w:rsidRPr="015AD2CD">
        <w:rPr>
          <w:rFonts w:eastAsia="Arial" w:cs="Arial"/>
          <w:szCs w:val="24"/>
        </w:rPr>
        <w:t xml:space="preserve"> </w:t>
      </w:r>
    </w:p>
    <w:p w14:paraId="706D410E" w14:textId="785FDEA2" w:rsidR="00434E80" w:rsidRDefault="0DED14D5" w:rsidP="015AD2CD">
      <w:pPr>
        <w:pStyle w:val="Prrafodelista"/>
        <w:numPr>
          <w:ilvl w:val="1"/>
          <w:numId w:val="1"/>
        </w:numPr>
        <w:spacing w:after="0"/>
        <w:ind w:left="993" w:hanging="567"/>
        <w:jc w:val="both"/>
        <w:rPr>
          <w:rFonts w:ascii="Arial" w:eastAsia="Arial" w:hAnsi="Arial" w:cs="Arial"/>
          <w:b/>
          <w:bCs/>
          <w:color w:val="000000" w:themeColor="text1"/>
          <w:sz w:val="24"/>
          <w:szCs w:val="24"/>
        </w:rPr>
      </w:pPr>
      <w:r w:rsidRPr="015AD2CD">
        <w:rPr>
          <w:rFonts w:ascii="Arial" w:eastAsia="Arial" w:hAnsi="Arial" w:cs="Arial"/>
          <w:b/>
          <w:bCs/>
          <w:color w:val="000000" w:themeColor="text1"/>
          <w:sz w:val="24"/>
          <w:szCs w:val="24"/>
        </w:rPr>
        <w:t>Informes mensais sobre execução orçamentaria e aportes recebidos – Execução orçamentária entre 01/04/2025 e 31/07/2025</w:t>
      </w:r>
    </w:p>
    <w:p w14:paraId="5F457806" w14:textId="453B06EB" w:rsidR="00434E80" w:rsidRDefault="0DED14D5" w:rsidP="015AD2CD">
      <w:pPr>
        <w:tabs>
          <w:tab w:val="left" w:pos="426"/>
          <w:tab w:val="left" w:pos="708"/>
          <w:tab w:val="left" w:pos="1416"/>
          <w:tab w:val="left" w:pos="2124"/>
          <w:tab w:val="left" w:pos="2832"/>
          <w:tab w:val="left" w:pos="3540"/>
          <w:tab w:val="left" w:pos="4248"/>
          <w:tab w:val="center" w:pos="4252"/>
          <w:tab w:val="left" w:pos="4956"/>
          <w:tab w:val="left" w:pos="5664"/>
          <w:tab w:val="left" w:pos="6372"/>
          <w:tab w:val="left" w:pos="7080"/>
          <w:tab w:val="left" w:pos="7788"/>
          <w:tab w:val="left" w:pos="8496"/>
          <w:tab w:val="right" w:pos="8504"/>
          <w:tab w:val="left" w:pos="8520"/>
        </w:tabs>
        <w:ind w:left="502"/>
        <w:jc w:val="both"/>
      </w:pPr>
      <w:r w:rsidRPr="015AD2CD">
        <w:rPr>
          <w:rFonts w:eastAsia="Arial" w:cs="Arial"/>
          <w:b/>
          <w:bCs/>
          <w:color w:val="000000" w:themeColor="text1"/>
          <w:szCs w:val="24"/>
        </w:rPr>
        <w:t xml:space="preserve"> </w:t>
      </w:r>
    </w:p>
    <w:p w14:paraId="15F981DE" w14:textId="549CC225" w:rsidR="00434E80" w:rsidRDefault="0DED14D5" w:rsidP="015AD2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20"/>
        </w:tabs>
        <w:jc w:val="both"/>
        <w:rPr>
          <w:rFonts w:eastAsia="Arial" w:cs="Arial"/>
          <w:b/>
          <w:bCs/>
          <w:color w:val="000000" w:themeColor="text1"/>
          <w:szCs w:val="24"/>
        </w:rPr>
      </w:pPr>
      <w:r w:rsidRPr="015AD2CD">
        <w:rPr>
          <w:rFonts w:eastAsia="Arial" w:cs="Arial"/>
          <w:szCs w:val="24"/>
        </w:rPr>
        <w:t xml:space="preserve">O </w:t>
      </w:r>
      <w:r w:rsidRPr="015AD2CD">
        <w:rPr>
          <w:rFonts w:eastAsia="Arial" w:cs="Arial"/>
          <w:color w:val="000000" w:themeColor="text1"/>
          <w:szCs w:val="24"/>
        </w:rPr>
        <w:t xml:space="preserve">GAO recebeu o relatório de execução orçamentária relativo ao período de 1º de abril a 31 de julho de 2025, enviado pela nota </w:t>
      </w:r>
      <w:r w:rsidRPr="015AD2CD">
        <w:rPr>
          <w:rFonts w:eastAsia="Arial" w:cs="Arial"/>
          <w:szCs w:val="24"/>
        </w:rPr>
        <w:t xml:space="preserve">TPR/ST/168/2025 de 21 de agosto </w:t>
      </w:r>
      <w:r w:rsidRPr="015AD2CD">
        <w:rPr>
          <w:rFonts w:eastAsia="Arial" w:cs="Arial"/>
          <w:color w:val="000000" w:themeColor="text1"/>
          <w:szCs w:val="24"/>
        </w:rPr>
        <w:t xml:space="preserve">de 2025 </w:t>
      </w:r>
      <w:r w:rsidRPr="015AD2CD">
        <w:rPr>
          <w:rFonts w:eastAsia="Arial" w:cs="Arial"/>
          <w:b/>
          <w:bCs/>
          <w:color w:val="000000" w:themeColor="text1"/>
          <w:szCs w:val="24"/>
        </w:rPr>
        <w:t>(Anexo IX).</w:t>
      </w:r>
    </w:p>
    <w:p w14:paraId="18BBE78D" w14:textId="77777777" w:rsidR="004D0638" w:rsidRDefault="004D0638" w:rsidP="015AD2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20"/>
        </w:tabs>
        <w:jc w:val="both"/>
      </w:pPr>
    </w:p>
    <w:p w14:paraId="55A25AD1" w14:textId="77777777" w:rsidR="004D0638" w:rsidRDefault="004D0638" w:rsidP="015AD2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20"/>
        </w:tabs>
        <w:jc w:val="both"/>
      </w:pPr>
    </w:p>
    <w:p w14:paraId="3B8A0AD6" w14:textId="69D6BE07" w:rsidR="00434E80" w:rsidRDefault="0DED14D5" w:rsidP="015AD2CD">
      <w:pPr>
        <w:tabs>
          <w:tab w:val="left" w:pos="426"/>
          <w:tab w:val="left" w:pos="708"/>
          <w:tab w:val="left" w:pos="1416"/>
          <w:tab w:val="left" w:pos="2124"/>
          <w:tab w:val="left" w:pos="2832"/>
          <w:tab w:val="left" w:pos="3540"/>
          <w:tab w:val="left" w:pos="4248"/>
          <w:tab w:val="center" w:pos="4252"/>
          <w:tab w:val="left" w:pos="4956"/>
          <w:tab w:val="left" w:pos="5664"/>
          <w:tab w:val="left" w:pos="6372"/>
          <w:tab w:val="left" w:pos="7080"/>
          <w:tab w:val="left" w:pos="7788"/>
          <w:tab w:val="left" w:pos="8496"/>
          <w:tab w:val="right" w:pos="8504"/>
          <w:tab w:val="left" w:pos="8520"/>
        </w:tabs>
        <w:jc w:val="both"/>
      </w:pPr>
      <w:r w:rsidRPr="015AD2CD">
        <w:rPr>
          <w:rFonts w:eastAsia="Arial" w:cs="Arial"/>
          <w:b/>
          <w:bCs/>
          <w:color w:val="000000" w:themeColor="text1"/>
          <w:szCs w:val="24"/>
        </w:rPr>
        <w:t xml:space="preserve"> </w:t>
      </w:r>
    </w:p>
    <w:p w14:paraId="0C8F5581" w14:textId="07ECC973" w:rsidR="00434E80" w:rsidRDefault="0DED14D5" w:rsidP="015AD2CD">
      <w:pPr>
        <w:pStyle w:val="Prrafodelista"/>
        <w:numPr>
          <w:ilvl w:val="2"/>
          <w:numId w:val="1"/>
        </w:numPr>
        <w:spacing w:after="0" w:line="257" w:lineRule="auto"/>
        <w:ind w:left="1366" w:hanging="504"/>
        <w:jc w:val="both"/>
        <w:rPr>
          <w:rFonts w:ascii="Arial" w:eastAsia="Arial" w:hAnsi="Arial" w:cs="Arial"/>
          <w:b/>
          <w:bCs/>
          <w:color w:val="000000" w:themeColor="text1"/>
          <w:sz w:val="24"/>
          <w:szCs w:val="24"/>
        </w:rPr>
      </w:pPr>
      <w:r w:rsidRPr="015AD2CD">
        <w:rPr>
          <w:rFonts w:ascii="Arial" w:eastAsia="Arial" w:hAnsi="Arial" w:cs="Arial"/>
          <w:b/>
          <w:bCs/>
          <w:color w:val="000000" w:themeColor="text1"/>
          <w:sz w:val="24"/>
          <w:szCs w:val="24"/>
        </w:rPr>
        <w:lastRenderedPageBreak/>
        <w:t>Execução orçamentária mensal e acumulada</w:t>
      </w:r>
    </w:p>
    <w:p w14:paraId="5748E102" w14:textId="773F1669" w:rsidR="00434E80" w:rsidRDefault="0DED14D5" w:rsidP="015AD2CD">
      <w:pPr>
        <w:tabs>
          <w:tab w:val="left" w:pos="426"/>
          <w:tab w:val="left" w:pos="708"/>
          <w:tab w:val="left" w:pos="1416"/>
          <w:tab w:val="left" w:pos="1701"/>
          <w:tab w:val="left" w:pos="2832"/>
          <w:tab w:val="left" w:pos="3540"/>
          <w:tab w:val="left" w:pos="4248"/>
          <w:tab w:val="center" w:pos="4252"/>
          <w:tab w:val="left" w:pos="4956"/>
          <w:tab w:val="left" w:pos="5664"/>
          <w:tab w:val="left" w:pos="6372"/>
          <w:tab w:val="left" w:pos="7080"/>
          <w:tab w:val="left" w:pos="7788"/>
          <w:tab w:val="left" w:pos="8496"/>
          <w:tab w:val="right" w:pos="8504"/>
          <w:tab w:val="left" w:pos="8520"/>
        </w:tabs>
        <w:jc w:val="both"/>
      </w:pPr>
      <w:r w:rsidRPr="015AD2CD">
        <w:rPr>
          <w:rFonts w:eastAsia="Arial" w:cs="Arial"/>
          <w:b/>
          <w:bCs/>
          <w:color w:val="000000" w:themeColor="text1"/>
          <w:szCs w:val="24"/>
        </w:rPr>
        <w:t xml:space="preserve"> </w:t>
      </w:r>
    </w:p>
    <w:p w14:paraId="405C76FA" w14:textId="63C2013F" w:rsidR="00434E80" w:rsidRDefault="0DED14D5" w:rsidP="015AD2CD">
      <w:pPr>
        <w:tabs>
          <w:tab w:val="left" w:pos="426"/>
          <w:tab w:val="left" w:pos="1701"/>
          <w:tab w:val="center" w:pos="4252"/>
          <w:tab w:val="right" w:pos="8504"/>
          <w:tab w:val="left" w:pos="8520"/>
        </w:tabs>
        <w:spacing w:line="257" w:lineRule="auto"/>
        <w:jc w:val="both"/>
      </w:pPr>
      <w:r w:rsidRPr="015AD2CD">
        <w:rPr>
          <w:rFonts w:eastAsia="Arial" w:cs="Arial"/>
          <w:szCs w:val="24"/>
        </w:rPr>
        <w:t>O GAO recebeu as planilhas de execução orçamentária mensal e acumulada da ST até 30 de abril (nota TPR/ST/58/2025 de</w:t>
      </w:r>
      <w:r w:rsidRPr="015AD2CD">
        <w:rPr>
          <w:rFonts w:ascii="Calibri" w:eastAsia="Calibri" w:hAnsi="Calibri" w:cs="Calibri"/>
          <w:sz w:val="22"/>
          <w:szCs w:val="22"/>
        </w:rPr>
        <w:t xml:space="preserve"> </w:t>
      </w:r>
      <w:r w:rsidRPr="015AD2CD">
        <w:rPr>
          <w:rFonts w:eastAsia="Arial" w:cs="Arial"/>
          <w:szCs w:val="24"/>
        </w:rPr>
        <w:t xml:space="preserve">13 de maio de 2025), até 31 de maio (nota TPR/ST/67/2025 de 17 de junho de 2025), até 30 de junho (nota TPR/ST/79/2025 de 9 de julho de 2025), e até 31 de julho de 2025 (nota TPR/ST/168/2025 de 21 de agosto de 2025), referentes ao orçamento de US$ 510.569 aprovado para o exercício 2025 </w:t>
      </w:r>
      <w:r w:rsidRPr="015AD2CD">
        <w:rPr>
          <w:rFonts w:eastAsia="Arial" w:cs="Arial"/>
          <w:b/>
          <w:bCs/>
          <w:szCs w:val="24"/>
        </w:rPr>
        <w:t>(Anexo X)</w:t>
      </w:r>
      <w:r w:rsidRPr="015AD2CD">
        <w:rPr>
          <w:rFonts w:eastAsia="Arial" w:cs="Arial"/>
          <w:szCs w:val="24"/>
        </w:rPr>
        <w:t>.</w:t>
      </w:r>
    </w:p>
    <w:p w14:paraId="5959FCA9" w14:textId="20CE3C56" w:rsidR="00434E80" w:rsidRDefault="0DED14D5" w:rsidP="015AD2CD">
      <w:pPr>
        <w:tabs>
          <w:tab w:val="left" w:pos="426"/>
          <w:tab w:val="left" w:pos="1701"/>
          <w:tab w:val="center" w:pos="4252"/>
          <w:tab w:val="right" w:pos="8504"/>
          <w:tab w:val="left" w:pos="8520"/>
        </w:tabs>
        <w:spacing w:line="257" w:lineRule="auto"/>
        <w:jc w:val="both"/>
      </w:pPr>
      <w:r w:rsidRPr="015AD2CD">
        <w:rPr>
          <w:rFonts w:eastAsia="Arial" w:cs="Arial"/>
          <w:color w:val="EE0000"/>
          <w:szCs w:val="24"/>
        </w:rPr>
        <w:t xml:space="preserve"> </w:t>
      </w:r>
    </w:p>
    <w:p w14:paraId="5C0BC674" w14:textId="64BFE77E" w:rsidR="00434E80" w:rsidRDefault="0DED14D5" w:rsidP="015AD2CD">
      <w:pPr>
        <w:tabs>
          <w:tab w:val="left" w:pos="426"/>
          <w:tab w:val="left" w:pos="1701"/>
          <w:tab w:val="center" w:pos="4252"/>
          <w:tab w:val="right" w:pos="8504"/>
          <w:tab w:val="left" w:pos="8520"/>
        </w:tabs>
        <w:spacing w:line="257" w:lineRule="auto"/>
        <w:jc w:val="both"/>
      </w:pPr>
      <w:r w:rsidRPr="015AD2CD">
        <w:rPr>
          <w:rFonts w:eastAsia="Arial" w:cs="Arial"/>
          <w:szCs w:val="24"/>
        </w:rPr>
        <w:t>A execução orçamentária até 30 de abril de 2025 correspondeu a US$ 145.428 e representa 28% do total aprovado para o exercício de 2025.</w:t>
      </w:r>
    </w:p>
    <w:p w14:paraId="73BE6650" w14:textId="08AEB2A4" w:rsidR="00434E80" w:rsidRDefault="0DED14D5" w:rsidP="015AD2CD">
      <w:pPr>
        <w:tabs>
          <w:tab w:val="left" w:pos="426"/>
          <w:tab w:val="left" w:pos="1701"/>
          <w:tab w:val="center" w:pos="4252"/>
          <w:tab w:val="right" w:pos="8504"/>
          <w:tab w:val="left" w:pos="8520"/>
        </w:tabs>
        <w:spacing w:line="257" w:lineRule="auto"/>
        <w:jc w:val="both"/>
      </w:pPr>
      <w:r w:rsidRPr="015AD2CD">
        <w:rPr>
          <w:rFonts w:eastAsia="Arial" w:cs="Arial"/>
          <w:color w:val="EE0000"/>
          <w:szCs w:val="24"/>
        </w:rPr>
        <w:t xml:space="preserve"> </w:t>
      </w:r>
    </w:p>
    <w:p w14:paraId="4CEE0B91" w14:textId="454365C4" w:rsidR="00434E80" w:rsidRDefault="0DED14D5" w:rsidP="015AD2CD">
      <w:pPr>
        <w:tabs>
          <w:tab w:val="left" w:pos="426"/>
          <w:tab w:val="left" w:pos="1701"/>
          <w:tab w:val="center" w:pos="4252"/>
          <w:tab w:val="right" w:pos="8504"/>
          <w:tab w:val="left" w:pos="8520"/>
        </w:tabs>
        <w:spacing w:line="257" w:lineRule="auto"/>
        <w:jc w:val="both"/>
      </w:pPr>
      <w:r w:rsidRPr="015AD2CD">
        <w:rPr>
          <w:rFonts w:eastAsia="Arial" w:cs="Arial"/>
          <w:szCs w:val="24"/>
        </w:rPr>
        <w:t>A execução orçamentária até 31 de maio de 2025 correspondeu a US$ 181.823 e representa 36% do total aprovado para o exercício de 2025.</w:t>
      </w:r>
    </w:p>
    <w:p w14:paraId="660B601E" w14:textId="172146DD" w:rsidR="00434E80" w:rsidRDefault="0DED14D5" w:rsidP="015AD2CD">
      <w:pPr>
        <w:tabs>
          <w:tab w:val="left" w:pos="426"/>
          <w:tab w:val="left" w:pos="1701"/>
          <w:tab w:val="center" w:pos="4252"/>
          <w:tab w:val="right" w:pos="8504"/>
          <w:tab w:val="left" w:pos="8520"/>
        </w:tabs>
        <w:spacing w:line="257" w:lineRule="auto"/>
        <w:jc w:val="both"/>
      </w:pPr>
      <w:r w:rsidRPr="015AD2CD">
        <w:rPr>
          <w:rFonts w:eastAsia="Arial" w:cs="Arial"/>
          <w:color w:val="EE0000"/>
          <w:szCs w:val="24"/>
        </w:rPr>
        <w:t xml:space="preserve"> </w:t>
      </w:r>
    </w:p>
    <w:p w14:paraId="19AB2992" w14:textId="7CB1BDAE" w:rsidR="00434E80" w:rsidRDefault="0DED14D5" w:rsidP="015AD2CD">
      <w:pPr>
        <w:tabs>
          <w:tab w:val="left" w:pos="426"/>
          <w:tab w:val="left" w:pos="1701"/>
          <w:tab w:val="center" w:pos="4252"/>
          <w:tab w:val="right" w:pos="8504"/>
          <w:tab w:val="left" w:pos="8520"/>
        </w:tabs>
        <w:spacing w:line="257" w:lineRule="auto"/>
        <w:jc w:val="both"/>
      </w:pPr>
      <w:r w:rsidRPr="015AD2CD">
        <w:rPr>
          <w:rFonts w:eastAsia="Arial" w:cs="Arial"/>
          <w:szCs w:val="24"/>
        </w:rPr>
        <w:t>A execução orçamentária até 30 de junho de 2025 correspondeu a US$ 223.624 e representa 44% do total aprovado para o exercício de 2025.</w:t>
      </w:r>
    </w:p>
    <w:p w14:paraId="6FEE1C7C" w14:textId="3C67CBC7" w:rsidR="00434E80" w:rsidRDefault="0DED14D5" w:rsidP="015AD2CD">
      <w:pPr>
        <w:tabs>
          <w:tab w:val="left" w:pos="426"/>
          <w:tab w:val="left" w:pos="1701"/>
          <w:tab w:val="center" w:pos="4252"/>
          <w:tab w:val="right" w:pos="8504"/>
          <w:tab w:val="left" w:pos="8520"/>
        </w:tabs>
        <w:spacing w:line="257" w:lineRule="auto"/>
        <w:jc w:val="both"/>
      </w:pPr>
      <w:r w:rsidRPr="015AD2CD">
        <w:rPr>
          <w:rFonts w:eastAsia="Arial" w:cs="Arial"/>
          <w:color w:val="EE0000"/>
          <w:szCs w:val="24"/>
        </w:rPr>
        <w:t xml:space="preserve"> </w:t>
      </w:r>
    </w:p>
    <w:p w14:paraId="329A52B1" w14:textId="35B5E95C" w:rsidR="00434E80" w:rsidRDefault="0DED14D5" w:rsidP="015AD2CD">
      <w:pPr>
        <w:tabs>
          <w:tab w:val="left" w:pos="426"/>
          <w:tab w:val="left" w:pos="1701"/>
          <w:tab w:val="center" w:pos="4252"/>
          <w:tab w:val="right" w:pos="8504"/>
          <w:tab w:val="left" w:pos="8520"/>
        </w:tabs>
        <w:spacing w:line="257" w:lineRule="auto"/>
        <w:jc w:val="both"/>
      </w:pPr>
      <w:r w:rsidRPr="015AD2CD">
        <w:rPr>
          <w:rFonts w:eastAsia="Arial" w:cs="Arial"/>
          <w:szCs w:val="24"/>
        </w:rPr>
        <w:t>A execução orçamentária até 30 de julho de 2025 correspondeu a US$ 262.154 e representa 51% do total aprovado para o exercício de 2025.</w:t>
      </w:r>
    </w:p>
    <w:p w14:paraId="6B3114B9" w14:textId="60DFD71E" w:rsidR="00434E80" w:rsidRDefault="0DED14D5" w:rsidP="015AD2CD">
      <w:pPr>
        <w:tabs>
          <w:tab w:val="left" w:pos="426"/>
          <w:tab w:val="left" w:pos="1701"/>
          <w:tab w:val="center" w:pos="4252"/>
          <w:tab w:val="right" w:pos="8504"/>
          <w:tab w:val="left" w:pos="8520"/>
        </w:tabs>
        <w:spacing w:line="257" w:lineRule="auto"/>
        <w:jc w:val="both"/>
      </w:pPr>
      <w:r w:rsidRPr="015AD2CD">
        <w:rPr>
          <w:rFonts w:eastAsia="Arial" w:cs="Arial"/>
          <w:szCs w:val="24"/>
        </w:rPr>
        <w:t xml:space="preserve"> </w:t>
      </w:r>
    </w:p>
    <w:p w14:paraId="321A9B20" w14:textId="3A7DC45C" w:rsidR="00434E80" w:rsidRDefault="0DED14D5" w:rsidP="015AD2CD">
      <w:pPr>
        <w:pStyle w:val="Prrafodelista"/>
        <w:numPr>
          <w:ilvl w:val="2"/>
          <w:numId w:val="1"/>
        </w:numPr>
        <w:spacing w:after="0" w:line="257" w:lineRule="auto"/>
        <w:ind w:left="1701" w:hanging="839"/>
        <w:jc w:val="both"/>
        <w:rPr>
          <w:rFonts w:ascii="Arial" w:eastAsia="Arial" w:hAnsi="Arial" w:cs="Arial"/>
          <w:b/>
          <w:bCs/>
          <w:sz w:val="24"/>
          <w:szCs w:val="24"/>
        </w:rPr>
      </w:pPr>
      <w:r w:rsidRPr="015AD2CD">
        <w:rPr>
          <w:rFonts w:ascii="Arial" w:eastAsia="Arial" w:hAnsi="Arial" w:cs="Arial"/>
          <w:b/>
          <w:bCs/>
          <w:sz w:val="24"/>
          <w:szCs w:val="24"/>
        </w:rPr>
        <w:t>Execução orçamentária mensal e acumulada do uso de excedentes</w:t>
      </w:r>
    </w:p>
    <w:p w14:paraId="4C8DA04C" w14:textId="000D4BBF" w:rsidR="00434E80" w:rsidRDefault="0DED14D5" w:rsidP="015AD2CD">
      <w:pPr>
        <w:tabs>
          <w:tab w:val="left" w:pos="426"/>
          <w:tab w:val="left" w:pos="708"/>
          <w:tab w:val="left" w:pos="1701"/>
          <w:tab w:val="left" w:pos="2832"/>
          <w:tab w:val="left" w:pos="3540"/>
          <w:tab w:val="left" w:pos="4248"/>
          <w:tab w:val="center" w:pos="4252"/>
          <w:tab w:val="left" w:pos="4956"/>
          <w:tab w:val="left" w:pos="5664"/>
          <w:tab w:val="left" w:pos="6372"/>
          <w:tab w:val="left" w:pos="7080"/>
          <w:tab w:val="left" w:pos="7788"/>
          <w:tab w:val="left" w:pos="8496"/>
          <w:tab w:val="right" w:pos="8504"/>
          <w:tab w:val="left" w:pos="8520"/>
        </w:tabs>
        <w:jc w:val="both"/>
      </w:pPr>
      <w:r w:rsidRPr="015AD2CD">
        <w:rPr>
          <w:rFonts w:eastAsia="Arial" w:cs="Arial"/>
          <w:b/>
          <w:bCs/>
          <w:color w:val="000000" w:themeColor="text1"/>
          <w:szCs w:val="24"/>
        </w:rPr>
        <w:t xml:space="preserve"> </w:t>
      </w:r>
    </w:p>
    <w:p w14:paraId="097C85F6" w14:textId="3EC0ABD5" w:rsidR="00434E80" w:rsidRDefault="0DED14D5" w:rsidP="015AD2CD">
      <w:pPr>
        <w:tabs>
          <w:tab w:val="left" w:pos="426"/>
          <w:tab w:val="left" w:pos="1701"/>
          <w:tab w:val="center" w:pos="4252"/>
          <w:tab w:val="right" w:pos="8504"/>
          <w:tab w:val="left" w:pos="8520"/>
        </w:tabs>
        <w:spacing w:line="257" w:lineRule="auto"/>
        <w:jc w:val="both"/>
      </w:pPr>
      <w:r w:rsidRPr="015AD2CD">
        <w:rPr>
          <w:rFonts w:eastAsia="Arial" w:cs="Arial"/>
          <w:szCs w:val="24"/>
        </w:rPr>
        <w:t xml:space="preserve">O GAO tomou nota dos quadros de execução orçamentária mensal e acumulada do uso de excedentes da ST até 30 de abril (nota TPR/ST/58/2025 de 13 de maio de 2025), até 31 de maio (nota TPR/ST/67/2025 de 17 de junho de 2025), até 30 de junho (nota TPR/ST/79/2025 de 9 de julho de 2025), e até 31 de julho de 2025 (nota TPR/ST/168/2025 de 21 de agosto de 2025) </w:t>
      </w:r>
      <w:r w:rsidRPr="015AD2CD">
        <w:rPr>
          <w:rFonts w:eastAsia="Arial" w:cs="Arial"/>
          <w:b/>
          <w:bCs/>
          <w:szCs w:val="24"/>
        </w:rPr>
        <w:t>(Anexo XI)</w:t>
      </w:r>
      <w:r w:rsidRPr="015AD2CD">
        <w:rPr>
          <w:rFonts w:eastAsia="Arial" w:cs="Arial"/>
          <w:szCs w:val="24"/>
        </w:rPr>
        <w:t>.</w:t>
      </w:r>
    </w:p>
    <w:p w14:paraId="4FA76AEB" w14:textId="1AF431A5" w:rsidR="00434E80" w:rsidRDefault="0DED14D5" w:rsidP="015AD2CD">
      <w:pPr>
        <w:tabs>
          <w:tab w:val="left" w:pos="426"/>
          <w:tab w:val="left" w:pos="1701"/>
          <w:tab w:val="center" w:pos="4252"/>
          <w:tab w:val="right" w:pos="8504"/>
          <w:tab w:val="left" w:pos="8520"/>
        </w:tabs>
        <w:spacing w:line="257" w:lineRule="auto"/>
        <w:jc w:val="both"/>
      </w:pPr>
      <w:r w:rsidRPr="015AD2CD">
        <w:rPr>
          <w:rFonts w:eastAsia="Arial" w:cs="Arial"/>
          <w:szCs w:val="24"/>
        </w:rPr>
        <w:t xml:space="preserve"> </w:t>
      </w:r>
    </w:p>
    <w:p w14:paraId="76188515" w14:textId="5F63F1F0" w:rsidR="00434E80" w:rsidRDefault="0DED14D5" w:rsidP="004D0638">
      <w:pPr>
        <w:pStyle w:val="Prrafodelista"/>
        <w:numPr>
          <w:ilvl w:val="2"/>
          <w:numId w:val="1"/>
        </w:numPr>
        <w:spacing w:after="0" w:line="257" w:lineRule="auto"/>
        <w:ind w:left="1701" w:hanging="839"/>
        <w:jc w:val="both"/>
        <w:rPr>
          <w:rFonts w:ascii="Arial" w:eastAsia="Arial" w:hAnsi="Arial" w:cs="Arial"/>
          <w:b/>
          <w:bCs/>
          <w:color w:val="000000" w:themeColor="text1"/>
          <w:sz w:val="24"/>
          <w:szCs w:val="24"/>
        </w:rPr>
      </w:pPr>
      <w:r w:rsidRPr="015AD2CD">
        <w:rPr>
          <w:rFonts w:ascii="Arial" w:eastAsia="Arial" w:hAnsi="Arial" w:cs="Arial"/>
          <w:b/>
          <w:bCs/>
          <w:color w:val="000000" w:themeColor="text1"/>
          <w:sz w:val="24"/>
          <w:szCs w:val="24"/>
        </w:rPr>
        <w:t>Estado de situação dos aportes dos Estados Partes</w:t>
      </w:r>
    </w:p>
    <w:p w14:paraId="6EEDDABF" w14:textId="5631C3ED" w:rsidR="00434E80" w:rsidRDefault="0DED14D5" w:rsidP="015AD2CD">
      <w:pPr>
        <w:tabs>
          <w:tab w:val="left" w:pos="426"/>
          <w:tab w:val="left" w:pos="708"/>
          <w:tab w:val="left" w:pos="1416"/>
          <w:tab w:val="left" w:pos="1701"/>
          <w:tab w:val="left" w:pos="2124"/>
          <w:tab w:val="left" w:pos="2832"/>
          <w:tab w:val="left" w:pos="3540"/>
          <w:tab w:val="left" w:pos="4248"/>
          <w:tab w:val="center" w:pos="4252"/>
          <w:tab w:val="left" w:pos="4956"/>
          <w:tab w:val="left" w:pos="5664"/>
          <w:tab w:val="left" w:pos="6372"/>
          <w:tab w:val="left" w:pos="7080"/>
          <w:tab w:val="left" w:pos="7788"/>
          <w:tab w:val="left" w:pos="8496"/>
          <w:tab w:val="right" w:pos="8504"/>
          <w:tab w:val="left" w:pos="8520"/>
        </w:tabs>
        <w:jc w:val="both"/>
      </w:pPr>
      <w:r w:rsidRPr="015AD2CD">
        <w:rPr>
          <w:rFonts w:eastAsia="Arial" w:cs="Arial"/>
          <w:b/>
          <w:bCs/>
          <w:color w:val="000000" w:themeColor="text1"/>
          <w:szCs w:val="24"/>
        </w:rPr>
        <w:t xml:space="preserve"> </w:t>
      </w:r>
    </w:p>
    <w:p w14:paraId="7EEC58A1" w14:textId="4D4047F9" w:rsidR="00434E80" w:rsidRDefault="0DED14D5" w:rsidP="015AD2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20"/>
        </w:tabs>
        <w:jc w:val="both"/>
      </w:pPr>
      <w:r w:rsidRPr="015AD2CD">
        <w:rPr>
          <w:rFonts w:eastAsia="Arial" w:cs="Arial"/>
          <w:szCs w:val="24"/>
        </w:rPr>
        <w:t>O GAO tomou nota das contribuições dos Estados Partes à TPR/ST até 31 de julho de 2025, conforme o informado pela nota TPR/ST/168/2025 de 21 de agosto de 2025</w:t>
      </w:r>
      <w:r w:rsidRPr="015AD2CD">
        <w:rPr>
          <w:rFonts w:eastAsia="Arial" w:cs="Arial"/>
          <w:b/>
          <w:bCs/>
          <w:szCs w:val="24"/>
        </w:rPr>
        <w:t xml:space="preserve"> (Anexo XII)</w:t>
      </w:r>
      <w:r w:rsidRPr="015AD2CD">
        <w:rPr>
          <w:rFonts w:eastAsia="Arial" w:cs="Arial"/>
          <w:szCs w:val="24"/>
        </w:rPr>
        <w:t>.</w:t>
      </w:r>
    </w:p>
    <w:p w14:paraId="44A3BBFD" w14:textId="4A4B59CD" w:rsidR="00434E80" w:rsidRDefault="0DED14D5" w:rsidP="015AD2CD">
      <w:pPr>
        <w:tabs>
          <w:tab w:val="left" w:pos="426"/>
          <w:tab w:val="left" w:pos="708"/>
          <w:tab w:val="left" w:pos="1416"/>
          <w:tab w:val="left" w:pos="1701"/>
          <w:tab w:val="left" w:pos="2124"/>
          <w:tab w:val="left" w:pos="2832"/>
          <w:tab w:val="left" w:pos="3540"/>
          <w:tab w:val="left" w:pos="4248"/>
          <w:tab w:val="center" w:pos="4252"/>
          <w:tab w:val="left" w:pos="4956"/>
          <w:tab w:val="left" w:pos="5664"/>
          <w:tab w:val="left" w:pos="6372"/>
          <w:tab w:val="left" w:pos="7080"/>
          <w:tab w:val="left" w:pos="7788"/>
          <w:tab w:val="left" w:pos="8496"/>
          <w:tab w:val="right" w:pos="8504"/>
          <w:tab w:val="left" w:pos="8520"/>
        </w:tabs>
        <w:jc w:val="both"/>
      </w:pPr>
      <w:r w:rsidRPr="015AD2CD">
        <w:rPr>
          <w:rFonts w:eastAsia="Arial" w:cs="Arial"/>
          <w:b/>
          <w:bCs/>
          <w:color w:val="000000" w:themeColor="text1"/>
          <w:szCs w:val="24"/>
        </w:rPr>
        <w:t xml:space="preserve"> </w:t>
      </w:r>
    </w:p>
    <w:p w14:paraId="6353FF7F" w14:textId="26B39151" w:rsidR="00434E80" w:rsidRDefault="0DED14D5" w:rsidP="004D0638">
      <w:pPr>
        <w:pStyle w:val="Prrafodelista"/>
        <w:numPr>
          <w:ilvl w:val="2"/>
          <w:numId w:val="1"/>
        </w:numPr>
        <w:spacing w:after="0" w:line="257" w:lineRule="auto"/>
        <w:ind w:left="1701" w:hanging="839"/>
        <w:jc w:val="both"/>
        <w:rPr>
          <w:rFonts w:ascii="Arial" w:eastAsia="Arial" w:hAnsi="Arial" w:cs="Arial"/>
          <w:b/>
          <w:bCs/>
          <w:color w:val="000000" w:themeColor="text1"/>
          <w:sz w:val="24"/>
          <w:szCs w:val="24"/>
        </w:rPr>
      </w:pPr>
      <w:r w:rsidRPr="015AD2CD">
        <w:rPr>
          <w:rFonts w:ascii="Arial" w:eastAsia="Arial" w:hAnsi="Arial" w:cs="Arial"/>
          <w:b/>
          <w:bCs/>
          <w:color w:val="000000" w:themeColor="text1"/>
          <w:sz w:val="24"/>
          <w:szCs w:val="24"/>
        </w:rPr>
        <w:t>Excedentes acumulados contábeis, líquidos e disponíveis</w:t>
      </w:r>
    </w:p>
    <w:p w14:paraId="0064859C" w14:textId="75158CB3" w:rsidR="00434E80" w:rsidRDefault="0DED14D5" w:rsidP="015AD2CD">
      <w:pPr>
        <w:tabs>
          <w:tab w:val="left" w:pos="426"/>
          <w:tab w:val="left" w:pos="708"/>
          <w:tab w:val="left" w:pos="1416"/>
          <w:tab w:val="left" w:pos="1701"/>
          <w:tab w:val="left" w:pos="2124"/>
          <w:tab w:val="left" w:pos="2832"/>
          <w:tab w:val="left" w:pos="3540"/>
          <w:tab w:val="left" w:pos="4248"/>
          <w:tab w:val="center" w:pos="4252"/>
          <w:tab w:val="left" w:pos="4956"/>
          <w:tab w:val="left" w:pos="5664"/>
          <w:tab w:val="left" w:pos="6372"/>
          <w:tab w:val="left" w:pos="7080"/>
          <w:tab w:val="left" w:pos="7788"/>
          <w:tab w:val="left" w:pos="8496"/>
          <w:tab w:val="right" w:pos="8504"/>
          <w:tab w:val="left" w:pos="8520"/>
        </w:tabs>
        <w:spacing w:line="257" w:lineRule="auto"/>
        <w:ind w:left="1366"/>
        <w:jc w:val="both"/>
      </w:pPr>
      <w:r w:rsidRPr="015AD2CD">
        <w:rPr>
          <w:rFonts w:eastAsia="Arial" w:cs="Arial"/>
          <w:b/>
          <w:bCs/>
          <w:color w:val="000000" w:themeColor="text1"/>
          <w:szCs w:val="24"/>
        </w:rPr>
        <w:t xml:space="preserve"> </w:t>
      </w:r>
    </w:p>
    <w:p w14:paraId="2C603C56" w14:textId="55E462CB" w:rsidR="00434E80" w:rsidRDefault="0DED14D5" w:rsidP="015AD2CD">
      <w:pPr>
        <w:jc w:val="both"/>
      </w:pPr>
      <w:r w:rsidRPr="015AD2CD">
        <w:rPr>
          <w:rFonts w:eastAsia="Arial" w:cs="Arial"/>
          <w:szCs w:val="24"/>
        </w:rPr>
        <w:t xml:space="preserve">O GAO tomou nota dos quadros sobre o estado dos recursos excedentes anuais do TPR/ST e sua utilização até 31 de julho de 2025 (nota TPR/ST/168/2025) </w:t>
      </w:r>
      <w:r w:rsidRPr="015AD2CD">
        <w:rPr>
          <w:rFonts w:eastAsia="Arial" w:cs="Arial"/>
          <w:b/>
          <w:bCs/>
          <w:szCs w:val="24"/>
        </w:rPr>
        <w:t>(Anexo XIII).</w:t>
      </w:r>
    </w:p>
    <w:p w14:paraId="3CFC0014" w14:textId="47C0F4A6" w:rsidR="004D0638" w:rsidRPr="004D0638" w:rsidRDefault="0DED14D5" w:rsidP="015AD2CD">
      <w:pPr>
        <w:tabs>
          <w:tab w:val="left" w:pos="426"/>
          <w:tab w:val="left" w:pos="708"/>
          <w:tab w:val="left" w:pos="1416"/>
          <w:tab w:val="left" w:pos="1701"/>
          <w:tab w:val="left" w:pos="2124"/>
          <w:tab w:val="left" w:pos="2832"/>
          <w:tab w:val="left" w:pos="3540"/>
          <w:tab w:val="left" w:pos="4248"/>
          <w:tab w:val="center" w:pos="4252"/>
          <w:tab w:val="left" w:pos="4956"/>
          <w:tab w:val="left" w:pos="5664"/>
          <w:tab w:val="left" w:pos="6372"/>
          <w:tab w:val="left" w:pos="7080"/>
          <w:tab w:val="left" w:pos="7788"/>
          <w:tab w:val="left" w:pos="8496"/>
          <w:tab w:val="right" w:pos="8504"/>
          <w:tab w:val="left" w:pos="8520"/>
        </w:tabs>
        <w:jc w:val="both"/>
        <w:rPr>
          <w:rFonts w:eastAsia="Arial" w:cs="Arial"/>
          <w:b/>
          <w:bCs/>
          <w:color w:val="000000" w:themeColor="text1"/>
          <w:szCs w:val="24"/>
        </w:rPr>
      </w:pPr>
      <w:r w:rsidRPr="015AD2CD">
        <w:rPr>
          <w:rFonts w:eastAsia="Arial" w:cs="Arial"/>
          <w:b/>
          <w:bCs/>
          <w:color w:val="000000" w:themeColor="text1"/>
          <w:szCs w:val="24"/>
        </w:rPr>
        <w:t xml:space="preserve"> </w:t>
      </w:r>
    </w:p>
    <w:p w14:paraId="3A01E59C" w14:textId="4BCE51E3" w:rsidR="00434E80" w:rsidRDefault="0DED14D5" w:rsidP="015AD2CD">
      <w:pPr>
        <w:pStyle w:val="Prrafodelista"/>
        <w:numPr>
          <w:ilvl w:val="2"/>
          <w:numId w:val="1"/>
        </w:numPr>
        <w:spacing w:after="0" w:line="257" w:lineRule="auto"/>
        <w:ind w:left="1701" w:hanging="839"/>
        <w:jc w:val="both"/>
        <w:rPr>
          <w:rFonts w:ascii="Arial" w:eastAsia="Arial" w:hAnsi="Arial" w:cs="Arial"/>
          <w:b/>
          <w:bCs/>
          <w:color w:val="000000" w:themeColor="text1"/>
          <w:sz w:val="24"/>
          <w:szCs w:val="24"/>
        </w:rPr>
      </w:pPr>
      <w:r w:rsidRPr="015AD2CD">
        <w:rPr>
          <w:rFonts w:ascii="Arial" w:eastAsia="Arial" w:hAnsi="Arial" w:cs="Arial"/>
          <w:b/>
          <w:bCs/>
          <w:color w:val="000000" w:themeColor="text1"/>
          <w:sz w:val="24"/>
          <w:szCs w:val="24"/>
        </w:rPr>
        <w:t>Conciliação de excedentes líquidos com as contas bancárias</w:t>
      </w:r>
    </w:p>
    <w:p w14:paraId="58469D95" w14:textId="25818736" w:rsidR="00434E80" w:rsidRDefault="0DED14D5" w:rsidP="015AD2CD">
      <w:pPr>
        <w:jc w:val="both"/>
      </w:pPr>
      <w:r w:rsidRPr="015AD2CD">
        <w:rPr>
          <w:rFonts w:eastAsia="Arial" w:cs="Arial"/>
          <w:szCs w:val="24"/>
        </w:rPr>
        <w:t xml:space="preserve"> </w:t>
      </w:r>
    </w:p>
    <w:p w14:paraId="47D31B0E" w14:textId="05474515" w:rsidR="00434E80" w:rsidRDefault="0DED14D5" w:rsidP="015AD2CD">
      <w:pPr>
        <w:jc w:val="both"/>
      </w:pPr>
      <w:r w:rsidRPr="015AD2CD">
        <w:rPr>
          <w:rFonts w:eastAsia="Arial" w:cs="Arial"/>
          <w:szCs w:val="24"/>
        </w:rPr>
        <w:t xml:space="preserve">O GAO tomou nota dos quadros do total de excedentes disponíveis nas contas bancárias do TPR/ST em 31 de julho de 2025 (nota TPR/ST/168/2025) </w:t>
      </w:r>
      <w:r w:rsidRPr="015AD2CD">
        <w:rPr>
          <w:rFonts w:eastAsia="Arial" w:cs="Arial"/>
          <w:b/>
          <w:bCs/>
          <w:szCs w:val="24"/>
        </w:rPr>
        <w:t>(Anexo XIV)</w:t>
      </w:r>
      <w:r w:rsidRPr="015AD2CD">
        <w:rPr>
          <w:rFonts w:eastAsia="Arial" w:cs="Arial"/>
          <w:szCs w:val="24"/>
        </w:rPr>
        <w:t>.</w:t>
      </w:r>
    </w:p>
    <w:p w14:paraId="615398E3" w14:textId="7F245B0B" w:rsidR="00434E80" w:rsidRDefault="0DED14D5" w:rsidP="015AD2CD">
      <w:pPr>
        <w:jc w:val="both"/>
      </w:pPr>
      <w:r w:rsidRPr="015AD2CD">
        <w:rPr>
          <w:rFonts w:eastAsia="Arial" w:cs="Arial"/>
          <w:color w:val="EE0000"/>
          <w:szCs w:val="24"/>
        </w:rPr>
        <w:lastRenderedPageBreak/>
        <w:t xml:space="preserve"> </w:t>
      </w:r>
    </w:p>
    <w:p w14:paraId="0413E4AA" w14:textId="7CDAA661" w:rsidR="00434E80" w:rsidRDefault="0DED14D5" w:rsidP="015AD2CD">
      <w:pPr>
        <w:jc w:val="both"/>
      </w:pPr>
      <w:r w:rsidRPr="015AD2CD">
        <w:rPr>
          <w:rFonts w:eastAsia="Arial" w:cs="Arial"/>
          <w:szCs w:val="24"/>
        </w:rPr>
        <w:t>Tais excedentes totalizam, em 31 de julho de 2025, US$</w:t>
      </w:r>
      <w:r w:rsidRPr="015AD2CD">
        <w:rPr>
          <w:rFonts w:eastAsia="Arial" w:cs="Arial"/>
          <w:color w:val="EE0000"/>
          <w:szCs w:val="24"/>
        </w:rPr>
        <w:t xml:space="preserve"> </w:t>
      </w:r>
      <w:r w:rsidRPr="015AD2CD">
        <w:rPr>
          <w:rFonts w:eastAsia="Arial" w:cs="Arial"/>
          <w:szCs w:val="24"/>
        </w:rPr>
        <w:t>683.681.</w:t>
      </w:r>
    </w:p>
    <w:p w14:paraId="05405D8D" w14:textId="17248163" w:rsidR="00434E80" w:rsidRDefault="0DED14D5" w:rsidP="015AD2CD">
      <w:pPr>
        <w:jc w:val="both"/>
      </w:pPr>
      <w:r w:rsidRPr="015AD2CD">
        <w:rPr>
          <w:rFonts w:eastAsia="Arial" w:cs="Arial"/>
          <w:szCs w:val="24"/>
        </w:rPr>
        <w:t xml:space="preserve"> </w:t>
      </w:r>
    </w:p>
    <w:p w14:paraId="355B8E33" w14:textId="1549CC28" w:rsidR="00434E80" w:rsidRDefault="0DED14D5" w:rsidP="015AD2CD">
      <w:pPr>
        <w:jc w:val="both"/>
      </w:pPr>
      <w:r w:rsidRPr="015AD2CD">
        <w:rPr>
          <w:rFonts w:eastAsia="Arial" w:cs="Arial"/>
          <w:szCs w:val="24"/>
        </w:rPr>
        <w:t xml:space="preserve"> </w:t>
      </w:r>
    </w:p>
    <w:p w14:paraId="6BE5A64C" w14:textId="19DF856D" w:rsidR="00434E80" w:rsidRDefault="0DED14D5" w:rsidP="015AD2CD">
      <w:pPr>
        <w:pStyle w:val="Prrafodelista"/>
        <w:numPr>
          <w:ilvl w:val="0"/>
          <w:numId w:val="1"/>
        </w:numPr>
        <w:spacing w:after="0"/>
        <w:ind w:left="567" w:hanging="567"/>
        <w:jc w:val="both"/>
        <w:rPr>
          <w:rFonts w:ascii="Arial" w:eastAsia="Arial" w:hAnsi="Arial" w:cs="Arial"/>
          <w:b/>
          <w:bCs/>
          <w:color w:val="000000" w:themeColor="text1"/>
          <w:sz w:val="24"/>
          <w:szCs w:val="24"/>
        </w:rPr>
      </w:pPr>
      <w:r w:rsidRPr="015AD2CD">
        <w:rPr>
          <w:rFonts w:ascii="Arial" w:eastAsia="Arial" w:hAnsi="Arial" w:cs="Arial"/>
          <w:b/>
          <w:bCs/>
          <w:color w:val="000000" w:themeColor="text1"/>
          <w:sz w:val="24"/>
          <w:szCs w:val="24"/>
        </w:rPr>
        <w:t>INSTITUTO SOCIAL DO MERCOSUL (ISM)</w:t>
      </w:r>
    </w:p>
    <w:p w14:paraId="14CF9174" w14:textId="393F260B" w:rsidR="00434E80" w:rsidRDefault="0DED14D5" w:rsidP="015AD2CD">
      <w:pPr>
        <w:tabs>
          <w:tab w:val="left" w:pos="426"/>
          <w:tab w:val="left" w:pos="708"/>
          <w:tab w:val="left" w:pos="1416"/>
          <w:tab w:val="left" w:pos="2124"/>
          <w:tab w:val="left" w:pos="2832"/>
          <w:tab w:val="left" w:pos="3540"/>
          <w:tab w:val="left" w:pos="4248"/>
          <w:tab w:val="center" w:pos="4252"/>
          <w:tab w:val="left" w:pos="4956"/>
          <w:tab w:val="left" w:pos="5664"/>
          <w:tab w:val="left" w:pos="6372"/>
          <w:tab w:val="left" w:pos="7080"/>
          <w:tab w:val="left" w:pos="7788"/>
          <w:tab w:val="left" w:pos="8496"/>
          <w:tab w:val="right" w:pos="8504"/>
          <w:tab w:val="left" w:pos="8520"/>
        </w:tabs>
        <w:ind w:left="502"/>
        <w:jc w:val="both"/>
      </w:pPr>
      <w:r w:rsidRPr="015AD2CD">
        <w:rPr>
          <w:rFonts w:eastAsia="Arial" w:cs="Arial"/>
          <w:b/>
          <w:bCs/>
          <w:szCs w:val="24"/>
        </w:rPr>
        <w:t xml:space="preserve"> </w:t>
      </w:r>
    </w:p>
    <w:p w14:paraId="7E43D525" w14:textId="7C950348" w:rsidR="00434E80" w:rsidRDefault="0DED14D5" w:rsidP="015AD2CD">
      <w:pPr>
        <w:pStyle w:val="Prrafodelista"/>
        <w:numPr>
          <w:ilvl w:val="1"/>
          <w:numId w:val="1"/>
        </w:numPr>
        <w:spacing w:after="0"/>
        <w:ind w:left="993" w:hanging="567"/>
        <w:jc w:val="both"/>
        <w:rPr>
          <w:rFonts w:ascii="Arial" w:eastAsia="Arial" w:hAnsi="Arial" w:cs="Arial"/>
          <w:b/>
          <w:bCs/>
          <w:color w:val="000000" w:themeColor="text1"/>
          <w:sz w:val="24"/>
          <w:szCs w:val="24"/>
        </w:rPr>
      </w:pPr>
      <w:r w:rsidRPr="015AD2CD">
        <w:rPr>
          <w:rFonts w:ascii="Arial" w:eastAsia="Arial" w:hAnsi="Arial" w:cs="Arial"/>
          <w:b/>
          <w:bCs/>
          <w:color w:val="000000" w:themeColor="text1"/>
          <w:sz w:val="24"/>
          <w:szCs w:val="24"/>
        </w:rPr>
        <w:t>Informes mensais sobre execução orçamentária e aportes recebidos – Execução orçamentária entre 01/04/2025 e 31/07/2025</w:t>
      </w:r>
    </w:p>
    <w:p w14:paraId="648ECD12" w14:textId="79480137" w:rsidR="00434E80" w:rsidRDefault="0DED14D5" w:rsidP="015AD2CD">
      <w:pPr>
        <w:tabs>
          <w:tab w:val="left" w:pos="426"/>
          <w:tab w:val="left" w:pos="708"/>
          <w:tab w:val="left" w:pos="1416"/>
          <w:tab w:val="left" w:pos="2124"/>
          <w:tab w:val="left" w:pos="2832"/>
          <w:tab w:val="left" w:pos="3540"/>
          <w:tab w:val="left" w:pos="4248"/>
          <w:tab w:val="center" w:pos="4252"/>
          <w:tab w:val="left" w:pos="4956"/>
          <w:tab w:val="left" w:pos="5664"/>
          <w:tab w:val="left" w:pos="6372"/>
          <w:tab w:val="left" w:pos="7080"/>
          <w:tab w:val="left" w:pos="7788"/>
          <w:tab w:val="left" w:pos="8496"/>
          <w:tab w:val="right" w:pos="8504"/>
          <w:tab w:val="left" w:pos="8520"/>
        </w:tabs>
        <w:jc w:val="both"/>
      </w:pPr>
      <w:r w:rsidRPr="015AD2CD">
        <w:rPr>
          <w:rFonts w:eastAsia="Arial" w:cs="Arial"/>
          <w:b/>
          <w:bCs/>
          <w:color w:val="000000" w:themeColor="text1"/>
          <w:szCs w:val="24"/>
        </w:rPr>
        <w:t xml:space="preserve"> </w:t>
      </w:r>
    </w:p>
    <w:p w14:paraId="2D2F159A" w14:textId="457FB2BA" w:rsidR="00434E80" w:rsidRDefault="0DED14D5" w:rsidP="015AD2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20"/>
        </w:tabs>
        <w:jc w:val="both"/>
      </w:pPr>
      <w:r w:rsidRPr="015AD2CD">
        <w:rPr>
          <w:rFonts w:eastAsia="Arial" w:cs="Arial"/>
          <w:szCs w:val="24"/>
        </w:rPr>
        <w:t xml:space="preserve">O </w:t>
      </w:r>
      <w:r w:rsidRPr="015AD2CD">
        <w:rPr>
          <w:rFonts w:eastAsia="Arial" w:cs="Arial"/>
          <w:color w:val="000000" w:themeColor="text1"/>
          <w:szCs w:val="24"/>
        </w:rPr>
        <w:t xml:space="preserve">GAO recebeu o relatório de execução orçamentária relativo ao período de 1º de abril a 31 de julho de 2025, enviado pela nota </w:t>
      </w:r>
      <w:r w:rsidRPr="015AD2CD">
        <w:rPr>
          <w:rFonts w:eastAsia="Arial" w:cs="Arial"/>
          <w:szCs w:val="24"/>
        </w:rPr>
        <w:t>ISM/27/2025 de</w:t>
      </w:r>
      <w:r w:rsidRPr="015AD2CD">
        <w:rPr>
          <w:rFonts w:eastAsia="Arial" w:cs="Arial"/>
          <w:color w:val="000000" w:themeColor="text1"/>
          <w:szCs w:val="24"/>
        </w:rPr>
        <w:t xml:space="preserve"> 13</w:t>
      </w:r>
      <w:r w:rsidRPr="015AD2CD">
        <w:rPr>
          <w:rFonts w:eastAsia="Arial" w:cs="Arial"/>
          <w:szCs w:val="24"/>
        </w:rPr>
        <w:t xml:space="preserve"> de agosto </w:t>
      </w:r>
      <w:r w:rsidRPr="015AD2CD">
        <w:rPr>
          <w:rFonts w:eastAsia="Arial" w:cs="Arial"/>
          <w:color w:val="000000" w:themeColor="text1"/>
          <w:szCs w:val="24"/>
        </w:rPr>
        <w:t xml:space="preserve">de 2025 </w:t>
      </w:r>
      <w:r w:rsidRPr="015AD2CD">
        <w:rPr>
          <w:rFonts w:eastAsia="Arial" w:cs="Arial"/>
          <w:b/>
          <w:bCs/>
          <w:color w:val="000000" w:themeColor="text1"/>
          <w:szCs w:val="24"/>
        </w:rPr>
        <w:t>(Anexo XV).</w:t>
      </w:r>
    </w:p>
    <w:p w14:paraId="5DE3F65C" w14:textId="2F022F94" w:rsidR="00434E80" w:rsidRDefault="0DED14D5" w:rsidP="015AD2CD">
      <w:pPr>
        <w:tabs>
          <w:tab w:val="left" w:pos="426"/>
          <w:tab w:val="left" w:pos="708"/>
          <w:tab w:val="left" w:pos="1416"/>
          <w:tab w:val="left" w:pos="2124"/>
          <w:tab w:val="left" w:pos="2832"/>
          <w:tab w:val="left" w:pos="3540"/>
          <w:tab w:val="left" w:pos="4248"/>
          <w:tab w:val="center" w:pos="4252"/>
          <w:tab w:val="left" w:pos="4956"/>
          <w:tab w:val="left" w:pos="5664"/>
          <w:tab w:val="left" w:pos="6372"/>
          <w:tab w:val="left" w:pos="7080"/>
          <w:tab w:val="left" w:pos="7788"/>
          <w:tab w:val="left" w:pos="8496"/>
          <w:tab w:val="right" w:pos="8504"/>
          <w:tab w:val="left" w:pos="8520"/>
        </w:tabs>
        <w:jc w:val="both"/>
      </w:pPr>
      <w:r w:rsidRPr="015AD2CD">
        <w:rPr>
          <w:rFonts w:eastAsia="Arial" w:cs="Arial"/>
          <w:b/>
          <w:bCs/>
          <w:color w:val="000000" w:themeColor="text1"/>
          <w:szCs w:val="24"/>
        </w:rPr>
        <w:t xml:space="preserve"> </w:t>
      </w:r>
    </w:p>
    <w:p w14:paraId="206457DB" w14:textId="4C415876" w:rsidR="00434E80" w:rsidRDefault="0DED14D5" w:rsidP="004D0638">
      <w:pPr>
        <w:pStyle w:val="Prrafodelista"/>
        <w:numPr>
          <w:ilvl w:val="2"/>
          <w:numId w:val="1"/>
        </w:numPr>
        <w:spacing w:after="0" w:line="257" w:lineRule="auto"/>
        <w:ind w:left="1701" w:hanging="839"/>
        <w:jc w:val="both"/>
        <w:rPr>
          <w:rFonts w:ascii="Arial" w:eastAsia="Arial" w:hAnsi="Arial" w:cs="Arial"/>
          <w:b/>
          <w:bCs/>
          <w:color w:val="000000" w:themeColor="text1"/>
          <w:sz w:val="24"/>
          <w:szCs w:val="24"/>
        </w:rPr>
      </w:pPr>
      <w:r w:rsidRPr="015AD2CD">
        <w:rPr>
          <w:rFonts w:ascii="Arial" w:eastAsia="Arial" w:hAnsi="Arial" w:cs="Arial"/>
          <w:b/>
          <w:bCs/>
          <w:color w:val="000000" w:themeColor="text1"/>
          <w:sz w:val="24"/>
          <w:szCs w:val="24"/>
        </w:rPr>
        <w:t>Execução orçamentária mensal e acumulada</w:t>
      </w:r>
    </w:p>
    <w:p w14:paraId="14060BC3" w14:textId="2D4D41D9" w:rsidR="00434E80" w:rsidRDefault="0DED14D5" w:rsidP="015AD2CD">
      <w:pPr>
        <w:tabs>
          <w:tab w:val="left" w:pos="426"/>
          <w:tab w:val="left" w:pos="708"/>
          <w:tab w:val="left" w:pos="1416"/>
          <w:tab w:val="left" w:pos="1701"/>
          <w:tab w:val="left" w:pos="2832"/>
          <w:tab w:val="left" w:pos="3540"/>
          <w:tab w:val="left" w:pos="4248"/>
          <w:tab w:val="center" w:pos="4252"/>
          <w:tab w:val="left" w:pos="4956"/>
          <w:tab w:val="left" w:pos="5664"/>
          <w:tab w:val="left" w:pos="6372"/>
          <w:tab w:val="left" w:pos="7080"/>
          <w:tab w:val="left" w:pos="7788"/>
          <w:tab w:val="left" w:pos="8496"/>
          <w:tab w:val="right" w:pos="8504"/>
          <w:tab w:val="left" w:pos="8520"/>
        </w:tabs>
        <w:spacing w:line="257" w:lineRule="auto"/>
        <w:ind w:left="1366"/>
        <w:jc w:val="both"/>
      </w:pPr>
      <w:r w:rsidRPr="015AD2CD">
        <w:rPr>
          <w:rFonts w:eastAsia="Arial" w:cs="Arial"/>
          <w:b/>
          <w:bCs/>
          <w:color w:val="000000" w:themeColor="text1"/>
          <w:szCs w:val="24"/>
        </w:rPr>
        <w:t xml:space="preserve"> </w:t>
      </w:r>
    </w:p>
    <w:p w14:paraId="236A0C16" w14:textId="4AA630CB" w:rsidR="00434E80" w:rsidRDefault="0DED14D5" w:rsidP="015AD2CD">
      <w:pPr>
        <w:tabs>
          <w:tab w:val="left" w:pos="426"/>
          <w:tab w:val="left" w:pos="1701"/>
          <w:tab w:val="center" w:pos="4252"/>
          <w:tab w:val="right" w:pos="8504"/>
          <w:tab w:val="left" w:pos="8520"/>
        </w:tabs>
        <w:spacing w:line="257" w:lineRule="auto"/>
        <w:jc w:val="both"/>
      </w:pPr>
      <w:r w:rsidRPr="015AD2CD">
        <w:rPr>
          <w:rFonts w:eastAsia="Arial" w:cs="Arial"/>
          <w:szCs w:val="24"/>
        </w:rPr>
        <w:t>O GAO recebeu as planilhas de execução orçamentária mensal e acumulada do ISM até 30 de abril (enviado em 13 de maio de 2025), até 31 de maio (enviado em 10 de junho de 2025), até 30 de junho (enviado em 15 de julho de 2025) e até 31 de julho de 2025 (</w:t>
      </w:r>
      <w:r w:rsidRPr="015AD2CD">
        <w:rPr>
          <w:rFonts w:eastAsia="Arial" w:cs="Arial"/>
          <w:color w:val="000000" w:themeColor="text1"/>
          <w:szCs w:val="24"/>
        </w:rPr>
        <w:t xml:space="preserve">enviado pela nota </w:t>
      </w:r>
      <w:r w:rsidRPr="015AD2CD">
        <w:rPr>
          <w:rFonts w:eastAsia="Arial" w:cs="Arial"/>
          <w:szCs w:val="24"/>
        </w:rPr>
        <w:t>ISM/27/2025 de</w:t>
      </w:r>
      <w:r w:rsidRPr="015AD2CD">
        <w:rPr>
          <w:rFonts w:eastAsia="Arial" w:cs="Arial"/>
          <w:color w:val="000000" w:themeColor="text1"/>
          <w:szCs w:val="24"/>
        </w:rPr>
        <w:t xml:space="preserve"> 13</w:t>
      </w:r>
      <w:r w:rsidRPr="015AD2CD">
        <w:rPr>
          <w:rFonts w:eastAsia="Arial" w:cs="Arial"/>
          <w:szCs w:val="24"/>
        </w:rPr>
        <w:t xml:space="preserve"> de agosto </w:t>
      </w:r>
      <w:r w:rsidRPr="015AD2CD">
        <w:rPr>
          <w:rFonts w:eastAsia="Arial" w:cs="Arial"/>
          <w:color w:val="000000" w:themeColor="text1"/>
          <w:szCs w:val="24"/>
        </w:rPr>
        <w:t>de 2025</w:t>
      </w:r>
      <w:r w:rsidRPr="015AD2CD">
        <w:rPr>
          <w:rFonts w:eastAsia="Arial" w:cs="Arial"/>
          <w:szCs w:val="24"/>
        </w:rPr>
        <w:t xml:space="preserve">), referentes ao orçamento de US$ 348.898 aprovado para o exercício 2025 </w:t>
      </w:r>
      <w:r w:rsidRPr="015AD2CD">
        <w:rPr>
          <w:rFonts w:eastAsia="Arial" w:cs="Arial"/>
          <w:b/>
          <w:bCs/>
          <w:szCs w:val="24"/>
        </w:rPr>
        <w:t>(Anexo XVI)</w:t>
      </w:r>
      <w:r w:rsidRPr="015AD2CD">
        <w:rPr>
          <w:rFonts w:eastAsia="Arial" w:cs="Arial"/>
          <w:szCs w:val="24"/>
        </w:rPr>
        <w:t>.</w:t>
      </w:r>
    </w:p>
    <w:p w14:paraId="6C0CE0E6" w14:textId="3E5CD133" w:rsidR="00434E80" w:rsidRDefault="0DED14D5" w:rsidP="015AD2CD">
      <w:pPr>
        <w:tabs>
          <w:tab w:val="left" w:pos="426"/>
          <w:tab w:val="left" w:pos="1701"/>
          <w:tab w:val="center" w:pos="4252"/>
          <w:tab w:val="right" w:pos="8504"/>
          <w:tab w:val="left" w:pos="8520"/>
        </w:tabs>
        <w:spacing w:line="257" w:lineRule="auto"/>
        <w:jc w:val="both"/>
      </w:pPr>
      <w:r w:rsidRPr="015AD2CD">
        <w:rPr>
          <w:rFonts w:eastAsia="Arial" w:cs="Arial"/>
          <w:color w:val="EE0000"/>
          <w:szCs w:val="24"/>
        </w:rPr>
        <w:t xml:space="preserve"> </w:t>
      </w:r>
    </w:p>
    <w:p w14:paraId="3E6B6BF9" w14:textId="67B318E1" w:rsidR="00434E80" w:rsidRDefault="0DED14D5" w:rsidP="015AD2CD">
      <w:pPr>
        <w:tabs>
          <w:tab w:val="left" w:pos="426"/>
          <w:tab w:val="left" w:pos="1701"/>
          <w:tab w:val="center" w:pos="4252"/>
          <w:tab w:val="right" w:pos="8504"/>
          <w:tab w:val="left" w:pos="8520"/>
        </w:tabs>
        <w:spacing w:line="257" w:lineRule="auto"/>
        <w:jc w:val="both"/>
      </w:pPr>
      <w:r w:rsidRPr="015AD2CD">
        <w:rPr>
          <w:rFonts w:eastAsia="Arial" w:cs="Arial"/>
          <w:szCs w:val="24"/>
        </w:rPr>
        <w:t>A execução orçamentária até 30 de abril de 2025 correspondeu a US$ 53.263 e representa 15,27% do total aprovado para o exercício de 2025.</w:t>
      </w:r>
    </w:p>
    <w:p w14:paraId="644E2491" w14:textId="4FF72302" w:rsidR="00434E80" w:rsidRDefault="0DED14D5" w:rsidP="015AD2CD">
      <w:pPr>
        <w:tabs>
          <w:tab w:val="left" w:pos="426"/>
          <w:tab w:val="left" w:pos="1701"/>
          <w:tab w:val="center" w:pos="4252"/>
          <w:tab w:val="right" w:pos="8504"/>
          <w:tab w:val="left" w:pos="8520"/>
        </w:tabs>
        <w:spacing w:line="257" w:lineRule="auto"/>
        <w:jc w:val="both"/>
      </w:pPr>
      <w:r w:rsidRPr="015AD2CD">
        <w:rPr>
          <w:rFonts w:eastAsia="Arial" w:cs="Arial"/>
          <w:color w:val="EE0000"/>
          <w:szCs w:val="24"/>
        </w:rPr>
        <w:t xml:space="preserve"> </w:t>
      </w:r>
    </w:p>
    <w:p w14:paraId="05CC1A99" w14:textId="624375C0" w:rsidR="00434E80" w:rsidRDefault="0DED14D5" w:rsidP="015AD2CD">
      <w:pPr>
        <w:tabs>
          <w:tab w:val="left" w:pos="426"/>
          <w:tab w:val="left" w:pos="1701"/>
          <w:tab w:val="center" w:pos="4252"/>
          <w:tab w:val="right" w:pos="8504"/>
          <w:tab w:val="left" w:pos="8520"/>
        </w:tabs>
        <w:spacing w:line="257" w:lineRule="auto"/>
        <w:jc w:val="both"/>
      </w:pPr>
      <w:r w:rsidRPr="015AD2CD">
        <w:rPr>
          <w:rFonts w:eastAsia="Arial" w:cs="Arial"/>
          <w:szCs w:val="24"/>
        </w:rPr>
        <w:t>A execução orçamentária até 31 de maio de 2025 correspondeu a US$ 65.862 e representa 18,88% do total aprovado para o exercício de 2025.</w:t>
      </w:r>
    </w:p>
    <w:p w14:paraId="0AD18543" w14:textId="4F587E53" w:rsidR="00434E80" w:rsidRDefault="0DED14D5" w:rsidP="015AD2CD">
      <w:pPr>
        <w:tabs>
          <w:tab w:val="left" w:pos="426"/>
          <w:tab w:val="left" w:pos="1701"/>
          <w:tab w:val="center" w:pos="4252"/>
          <w:tab w:val="right" w:pos="8504"/>
          <w:tab w:val="left" w:pos="8520"/>
        </w:tabs>
        <w:spacing w:line="257" w:lineRule="auto"/>
        <w:jc w:val="both"/>
      </w:pPr>
      <w:r w:rsidRPr="015AD2CD">
        <w:rPr>
          <w:rFonts w:eastAsia="Arial" w:cs="Arial"/>
          <w:color w:val="EE0000"/>
          <w:szCs w:val="24"/>
        </w:rPr>
        <w:t xml:space="preserve"> </w:t>
      </w:r>
    </w:p>
    <w:p w14:paraId="0FD6130C" w14:textId="121F1056" w:rsidR="00434E80" w:rsidRDefault="0DED14D5" w:rsidP="015AD2CD">
      <w:pPr>
        <w:tabs>
          <w:tab w:val="left" w:pos="426"/>
          <w:tab w:val="left" w:pos="1701"/>
          <w:tab w:val="center" w:pos="4252"/>
          <w:tab w:val="right" w:pos="8504"/>
          <w:tab w:val="left" w:pos="8520"/>
        </w:tabs>
        <w:spacing w:line="257" w:lineRule="auto"/>
        <w:jc w:val="both"/>
      </w:pPr>
      <w:r w:rsidRPr="015AD2CD">
        <w:rPr>
          <w:rFonts w:eastAsia="Arial" w:cs="Arial"/>
          <w:szCs w:val="24"/>
        </w:rPr>
        <w:t>A execução orçamentária até 30 de junho de 2025 correspondeu a US$ 82.274 e representa 23,58% do total aprovado para o exercício de 2025.</w:t>
      </w:r>
    </w:p>
    <w:p w14:paraId="32800721" w14:textId="381D5977" w:rsidR="00434E80" w:rsidRDefault="0DED14D5" w:rsidP="015AD2CD">
      <w:pPr>
        <w:tabs>
          <w:tab w:val="left" w:pos="426"/>
          <w:tab w:val="left" w:pos="1701"/>
          <w:tab w:val="center" w:pos="4252"/>
          <w:tab w:val="right" w:pos="8504"/>
          <w:tab w:val="left" w:pos="8520"/>
        </w:tabs>
        <w:spacing w:line="257" w:lineRule="auto"/>
        <w:jc w:val="both"/>
      </w:pPr>
      <w:r w:rsidRPr="015AD2CD">
        <w:rPr>
          <w:rFonts w:eastAsia="Arial" w:cs="Arial"/>
          <w:color w:val="EE0000"/>
          <w:szCs w:val="24"/>
        </w:rPr>
        <w:t xml:space="preserve"> </w:t>
      </w:r>
    </w:p>
    <w:p w14:paraId="2291129E" w14:textId="62EF3AEE" w:rsidR="00434E80" w:rsidRDefault="0DED14D5" w:rsidP="015AD2CD">
      <w:pPr>
        <w:tabs>
          <w:tab w:val="left" w:pos="426"/>
          <w:tab w:val="left" w:pos="1701"/>
          <w:tab w:val="center" w:pos="4252"/>
          <w:tab w:val="right" w:pos="8504"/>
          <w:tab w:val="left" w:pos="8520"/>
        </w:tabs>
        <w:spacing w:line="257" w:lineRule="auto"/>
        <w:jc w:val="both"/>
      </w:pPr>
      <w:r w:rsidRPr="015AD2CD">
        <w:rPr>
          <w:rFonts w:eastAsia="Arial" w:cs="Arial"/>
          <w:szCs w:val="24"/>
        </w:rPr>
        <w:t>A execução orçamentária até 31 de julho de 2025 correspondeu a US$ 97.193 e representa 27,86% do total aprovado para o exercício de 2025.</w:t>
      </w:r>
    </w:p>
    <w:p w14:paraId="7A263354" w14:textId="342F1E44" w:rsidR="00434E80" w:rsidRDefault="0DED14D5" w:rsidP="015AD2CD">
      <w:pPr>
        <w:tabs>
          <w:tab w:val="left" w:pos="426"/>
          <w:tab w:val="left" w:pos="1701"/>
          <w:tab w:val="center" w:pos="4252"/>
          <w:tab w:val="right" w:pos="8504"/>
          <w:tab w:val="left" w:pos="8520"/>
        </w:tabs>
        <w:spacing w:line="257" w:lineRule="auto"/>
        <w:jc w:val="both"/>
      </w:pPr>
      <w:r w:rsidRPr="015AD2CD">
        <w:rPr>
          <w:rFonts w:eastAsia="Arial" w:cs="Arial"/>
          <w:color w:val="EE0000"/>
          <w:szCs w:val="24"/>
        </w:rPr>
        <w:t xml:space="preserve"> </w:t>
      </w:r>
    </w:p>
    <w:p w14:paraId="07F2680B" w14:textId="1D678567" w:rsidR="00434E80" w:rsidRDefault="0DED14D5" w:rsidP="015AD2CD">
      <w:pPr>
        <w:pStyle w:val="Prrafodelista"/>
        <w:numPr>
          <w:ilvl w:val="2"/>
          <w:numId w:val="1"/>
        </w:numPr>
        <w:spacing w:after="0" w:line="257" w:lineRule="auto"/>
        <w:ind w:left="1701" w:hanging="839"/>
        <w:jc w:val="both"/>
        <w:rPr>
          <w:rFonts w:ascii="Arial" w:eastAsia="Arial" w:hAnsi="Arial" w:cs="Arial"/>
          <w:b/>
          <w:bCs/>
          <w:color w:val="000000" w:themeColor="text1"/>
          <w:sz w:val="24"/>
          <w:szCs w:val="24"/>
        </w:rPr>
      </w:pPr>
      <w:r w:rsidRPr="015AD2CD">
        <w:rPr>
          <w:rFonts w:ascii="Arial" w:eastAsia="Arial" w:hAnsi="Arial" w:cs="Arial"/>
          <w:b/>
          <w:bCs/>
          <w:color w:val="000000" w:themeColor="text1"/>
          <w:sz w:val="24"/>
          <w:szCs w:val="24"/>
        </w:rPr>
        <w:t>Execução orçamentária mensal e acumulada do uso de excedentes</w:t>
      </w:r>
    </w:p>
    <w:p w14:paraId="39E32295" w14:textId="67FB79BD" w:rsidR="00434E80" w:rsidRDefault="0DED14D5" w:rsidP="015AD2CD">
      <w:pPr>
        <w:tabs>
          <w:tab w:val="left" w:pos="426"/>
          <w:tab w:val="left" w:pos="708"/>
          <w:tab w:val="left" w:pos="1701"/>
          <w:tab w:val="left" w:pos="2832"/>
          <w:tab w:val="left" w:pos="3540"/>
          <w:tab w:val="left" w:pos="4248"/>
          <w:tab w:val="center" w:pos="4252"/>
          <w:tab w:val="left" w:pos="4956"/>
          <w:tab w:val="left" w:pos="5664"/>
          <w:tab w:val="left" w:pos="6372"/>
          <w:tab w:val="left" w:pos="7080"/>
          <w:tab w:val="left" w:pos="7788"/>
          <w:tab w:val="left" w:pos="8496"/>
          <w:tab w:val="right" w:pos="8504"/>
          <w:tab w:val="left" w:pos="8520"/>
        </w:tabs>
        <w:jc w:val="both"/>
      </w:pPr>
      <w:r w:rsidRPr="015AD2CD">
        <w:rPr>
          <w:rFonts w:eastAsia="Arial" w:cs="Arial"/>
          <w:b/>
          <w:bCs/>
          <w:color w:val="000000" w:themeColor="text1"/>
          <w:szCs w:val="24"/>
        </w:rPr>
        <w:t xml:space="preserve"> </w:t>
      </w:r>
    </w:p>
    <w:p w14:paraId="0AF33729" w14:textId="2EFA5568" w:rsidR="00434E80" w:rsidRDefault="0DED14D5" w:rsidP="015AD2CD">
      <w:pPr>
        <w:tabs>
          <w:tab w:val="left" w:pos="426"/>
          <w:tab w:val="left" w:pos="1701"/>
          <w:tab w:val="center" w:pos="4252"/>
          <w:tab w:val="right" w:pos="8504"/>
          <w:tab w:val="left" w:pos="8520"/>
        </w:tabs>
        <w:spacing w:line="257" w:lineRule="auto"/>
        <w:jc w:val="both"/>
      </w:pPr>
      <w:r w:rsidRPr="015AD2CD">
        <w:rPr>
          <w:rFonts w:eastAsia="Arial" w:cs="Arial"/>
          <w:szCs w:val="24"/>
        </w:rPr>
        <w:t xml:space="preserve">O GAO tomou nota dos quadros de execução orçamentária mensal e acumulada do uso de excedentes do ISM até 30 de abril (enviado em 13 de maio de 2025), até 31 de maio (enviado em 10 de junho de 2025), até 30 de junho (enviado em 15 de julho de 2025) e até 31 de julho de 2025 (enviado em 13 de agosto de 2025) </w:t>
      </w:r>
      <w:r w:rsidRPr="015AD2CD">
        <w:rPr>
          <w:rFonts w:eastAsia="Arial" w:cs="Arial"/>
          <w:b/>
          <w:bCs/>
          <w:szCs w:val="24"/>
        </w:rPr>
        <w:t>(Anexo XVII)</w:t>
      </w:r>
      <w:r w:rsidRPr="015AD2CD">
        <w:rPr>
          <w:rFonts w:eastAsia="Arial" w:cs="Arial"/>
          <w:szCs w:val="24"/>
        </w:rPr>
        <w:t>.</w:t>
      </w:r>
    </w:p>
    <w:p w14:paraId="55D6337B" w14:textId="392E878C" w:rsidR="00434E80" w:rsidRDefault="0DED14D5" w:rsidP="015AD2CD">
      <w:pPr>
        <w:tabs>
          <w:tab w:val="left" w:pos="426"/>
          <w:tab w:val="left" w:pos="1701"/>
          <w:tab w:val="center" w:pos="4252"/>
          <w:tab w:val="right" w:pos="8504"/>
          <w:tab w:val="left" w:pos="8520"/>
        </w:tabs>
        <w:spacing w:line="257" w:lineRule="auto"/>
        <w:jc w:val="both"/>
      </w:pPr>
      <w:r w:rsidRPr="015AD2CD">
        <w:rPr>
          <w:rFonts w:eastAsia="Arial" w:cs="Arial"/>
          <w:color w:val="EE0000"/>
          <w:szCs w:val="24"/>
        </w:rPr>
        <w:t xml:space="preserve"> </w:t>
      </w:r>
    </w:p>
    <w:p w14:paraId="615B2476" w14:textId="3DC17426" w:rsidR="00434E80" w:rsidRDefault="0DED14D5" w:rsidP="004D0638">
      <w:pPr>
        <w:pStyle w:val="Prrafodelista"/>
        <w:numPr>
          <w:ilvl w:val="2"/>
          <w:numId w:val="1"/>
        </w:numPr>
        <w:spacing w:after="0" w:line="257" w:lineRule="auto"/>
        <w:ind w:left="1701" w:hanging="839"/>
        <w:jc w:val="both"/>
        <w:rPr>
          <w:rFonts w:ascii="Arial" w:eastAsia="Arial" w:hAnsi="Arial" w:cs="Arial"/>
          <w:b/>
          <w:bCs/>
          <w:color w:val="000000" w:themeColor="text1"/>
          <w:sz w:val="24"/>
          <w:szCs w:val="24"/>
        </w:rPr>
      </w:pPr>
      <w:r w:rsidRPr="015AD2CD">
        <w:rPr>
          <w:rFonts w:ascii="Arial" w:eastAsia="Arial" w:hAnsi="Arial" w:cs="Arial"/>
          <w:b/>
          <w:bCs/>
          <w:color w:val="000000" w:themeColor="text1"/>
          <w:sz w:val="24"/>
          <w:szCs w:val="24"/>
        </w:rPr>
        <w:t>Estado de situação dos aportes dos Estados Partes</w:t>
      </w:r>
    </w:p>
    <w:p w14:paraId="54E65F5A" w14:textId="0D34F0A9" w:rsidR="00434E80" w:rsidRDefault="0DED14D5" w:rsidP="015AD2CD">
      <w:pPr>
        <w:tabs>
          <w:tab w:val="left" w:pos="426"/>
          <w:tab w:val="left" w:pos="708"/>
          <w:tab w:val="left" w:pos="1416"/>
          <w:tab w:val="left" w:pos="1701"/>
          <w:tab w:val="left" w:pos="2124"/>
          <w:tab w:val="left" w:pos="2832"/>
          <w:tab w:val="left" w:pos="3540"/>
          <w:tab w:val="left" w:pos="4248"/>
          <w:tab w:val="center" w:pos="4252"/>
          <w:tab w:val="left" w:pos="4956"/>
          <w:tab w:val="left" w:pos="5664"/>
          <w:tab w:val="left" w:pos="6372"/>
          <w:tab w:val="left" w:pos="7080"/>
          <w:tab w:val="left" w:pos="7788"/>
          <w:tab w:val="left" w:pos="8496"/>
          <w:tab w:val="right" w:pos="8504"/>
          <w:tab w:val="left" w:pos="8520"/>
        </w:tabs>
        <w:jc w:val="both"/>
      </w:pPr>
      <w:r w:rsidRPr="015AD2CD">
        <w:rPr>
          <w:rFonts w:eastAsia="Arial" w:cs="Arial"/>
          <w:b/>
          <w:bCs/>
          <w:color w:val="000000" w:themeColor="text1"/>
          <w:szCs w:val="24"/>
        </w:rPr>
        <w:t xml:space="preserve"> </w:t>
      </w:r>
    </w:p>
    <w:p w14:paraId="1EDCF54A" w14:textId="3D1421DD" w:rsidR="00434E80" w:rsidRDefault="0DED14D5" w:rsidP="015AD2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20"/>
        </w:tabs>
        <w:jc w:val="both"/>
      </w:pPr>
      <w:r w:rsidRPr="015AD2CD">
        <w:rPr>
          <w:rFonts w:eastAsia="Arial" w:cs="Arial"/>
          <w:szCs w:val="24"/>
        </w:rPr>
        <w:t xml:space="preserve">O GAO tomou nota da informação sobre as contribuições dos Estados Partes ao ISM até 31 de julho de 2025 (enviado em 13 de agosto de 2025) </w:t>
      </w:r>
      <w:r w:rsidRPr="015AD2CD">
        <w:rPr>
          <w:rFonts w:eastAsia="Arial" w:cs="Arial"/>
          <w:b/>
          <w:bCs/>
          <w:szCs w:val="24"/>
        </w:rPr>
        <w:t>(Anexo XVIII)</w:t>
      </w:r>
      <w:r w:rsidRPr="015AD2CD">
        <w:rPr>
          <w:rFonts w:eastAsia="Arial" w:cs="Arial"/>
          <w:szCs w:val="24"/>
        </w:rPr>
        <w:t>.</w:t>
      </w:r>
    </w:p>
    <w:p w14:paraId="73ABF4D1" w14:textId="32806702" w:rsidR="00434E80" w:rsidRDefault="0DED14D5" w:rsidP="015AD2CD">
      <w:pPr>
        <w:tabs>
          <w:tab w:val="left" w:pos="426"/>
          <w:tab w:val="left" w:pos="708"/>
          <w:tab w:val="left" w:pos="1416"/>
          <w:tab w:val="left" w:pos="1701"/>
          <w:tab w:val="left" w:pos="2124"/>
          <w:tab w:val="left" w:pos="2832"/>
          <w:tab w:val="left" w:pos="3540"/>
          <w:tab w:val="left" w:pos="4248"/>
          <w:tab w:val="center" w:pos="4252"/>
          <w:tab w:val="left" w:pos="4956"/>
          <w:tab w:val="left" w:pos="5664"/>
          <w:tab w:val="left" w:pos="6372"/>
          <w:tab w:val="left" w:pos="7080"/>
          <w:tab w:val="left" w:pos="7788"/>
          <w:tab w:val="left" w:pos="8496"/>
          <w:tab w:val="right" w:pos="8504"/>
          <w:tab w:val="left" w:pos="8520"/>
        </w:tabs>
        <w:jc w:val="both"/>
      </w:pPr>
      <w:r w:rsidRPr="015AD2CD">
        <w:rPr>
          <w:rFonts w:eastAsia="Arial" w:cs="Arial"/>
          <w:b/>
          <w:bCs/>
          <w:color w:val="000000" w:themeColor="text1"/>
          <w:szCs w:val="24"/>
        </w:rPr>
        <w:t xml:space="preserve"> </w:t>
      </w:r>
    </w:p>
    <w:p w14:paraId="7CE94B0D" w14:textId="5C6AA903" w:rsidR="00434E80" w:rsidRDefault="0DED14D5" w:rsidP="004D0638">
      <w:pPr>
        <w:pStyle w:val="Prrafodelista"/>
        <w:numPr>
          <w:ilvl w:val="2"/>
          <w:numId w:val="1"/>
        </w:numPr>
        <w:spacing w:after="0" w:line="257" w:lineRule="auto"/>
        <w:ind w:left="1701" w:hanging="839"/>
        <w:jc w:val="both"/>
        <w:rPr>
          <w:rFonts w:ascii="Arial" w:eastAsia="Arial" w:hAnsi="Arial" w:cs="Arial"/>
          <w:b/>
          <w:bCs/>
          <w:color w:val="000000" w:themeColor="text1"/>
          <w:sz w:val="24"/>
          <w:szCs w:val="24"/>
        </w:rPr>
      </w:pPr>
      <w:r w:rsidRPr="015AD2CD">
        <w:rPr>
          <w:rFonts w:ascii="Arial" w:eastAsia="Arial" w:hAnsi="Arial" w:cs="Arial"/>
          <w:b/>
          <w:bCs/>
          <w:color w:val="000000" w:themeColor="text1"/>
          <w:sz w:val="24"/>
          <w:szCs w:val="24"/>
        </w:rPr>
        <w:lastRenderedPageBreak/>
        <w:t>Excedentes acumulados contábeis, líquidos e disponíveis</w:t>
      </w:r>
    </w:p>
    <w:p w14:paraId="4C2DF0E2" w14:textId="4B9173C9" w:rsidR="00434E80" w:rsidRDefault="0DED14D5" w:rsidP="015AD2CD">
      <w:pPr>
        <w:tabs>
          <w:tab w:val="left" w:pos="426"/>
          <w:tab w:val="left" w:pos="708"/>
          <w:tab w:val="left" w:pos="1416"/>
          <w:tab w:val="left" w:pos="1701"/>
          <w:tab w:val="left" w:pos="2124"/>
          <w:tab w:val="left" w:pos="2832"/>
          <w:tab w:val="left" w:pos="3540"/>
          <w:tab w:val="left" w:pos="4248"/>
          <w:tab w:val="center" w:pos="4252"/>
          <w:tab w:val="left" w:pos="4956"/>
          <w:tab w:val="left" w:pos="5664"/>
          <w:tab w:val="left" w:pos="6372"/>
          <w:tab w:val="left" w:pos="7080"/>
          <w:tab w:val="left" w:pos="7788"/>
          <w:tab w:val="left" w:pos="8496"/>
          <w:tab w:val="right" w:pos="8504"/>
          <w:tab w:val="left" w:pos="8520"/>
        </w:tabs>
        <w:spacing w:line="257" w:lineRule="auto"/>
        <w:ind w:left="1366"/>
        <w:jc w:val="both"/>
      </w:pPr>
      <w:r w:rsidRPr="015AD2CD">
        <w:rPr>
          <w:rFonts w:eastAsia="Arial" w:cs="Arial"/>
          <w:b/>
          <w:bCs/>
          <w:color w:val="000000" w:themeColor="text1"/>
          <w:szCs w:val="24"/>
        </w:rPr>
        <w:t xml:space="preserve"> </w:t>
      </w:r>
    </w:p>
    <w:p w14:paraId="7CE6BEDD" w14:textId="79600CF2" w:rsidR="00434E80" w:rsidRDefault="0DED14D5" w:rsidP="015AD2CD">
      <w:pPr>
        <w:jc w:val="both"/>
      </w:pPr>
      <w:r w:rsidRPr="015AD2CD">
        <w:rPr>
          <w:rFonts w:eastAsia="Arial" w:cs="Arial"/>
          <w:color w:val="000000" w:themeColor="text1"/>
          <w:szCs w:val="24"/>
        </w:rPr>
        <w:t xml:space="preserve">O GAO tomou nota dos quadros sobre o estado dos recursos excedentes anuais do ISM e sua utilização até 31 de julho de 2025 </w:t>
      </w:r>
      <w:r w:rsidRPr="015AD2CD">
        <w:rPr>
          <w:rFonts w:eastAsia="Arial" w:cs="Arial"/>
          <w:szCs w:val="24"/>
        </w:rPr>
        <w:t xml:space="preserve">(enviado em 13 de agosto de 2025) </w:t>
      </w:r>
      <w:r w:rsidRPr="015AD2CD">
        <w:rPr>
          <w:rFonts w:eastAsia="Arial" w:cs="Arial"/>
          <w:b/>
          <w:bCs/>
          <w:szCs w:val="24"/>
        </w:rPr>
        <w:t>(Anexo XIX)</w:t>
      </w:r>
      <w:r w:rsidRPr="015AD2CD">
        <w:rPr>
          <w:rFonts w:eastAsia="Arial" w:cs="Arial"/>
          <w:szCs w:val="24"/>
        </w:rPr>
        <w:t>.</w:t>
      </w:r>
    </w:p>
    <w:p w14:paraId="7BCBCED0" w14:textId="7BD02D71" w:rsidR="00434E80" w:rsidRDefault="0DED14D5" w:rsidP="015AD2CD">
      <w:pPr>
        <w:tabs>
          <w:tab w:val="left" w:pos="426"/>
          <w:tab w:val="left" w:pos="708"/>
          <w:tab w:val="left" w:pos="1416"/>
          <w:tab w:val="left" w:pos="1701"/>
          <w:tab w:val="left" w:pos="2124"/>
          <w:tab w:val="left" w:pos="2832"/>
          <w:tab w:val="left" w:pos="3540"/>
          <w:tab w:val="left" w:pos="4248"/>
          <w:tab w:val="center" w:pos="4252"/>
          <w:tab w:val="left" w:pos="4956"/>
          <w:tab w:val="left" w:pos="5664"/>
          <w:tab w:val="left" w:pos="6372"/>
          <w:tab w:val="left" w:pos="7080"/>
          <w:tab w:val="left" w:pos="7788"/>
          <w:tab w:val="left" w:pos="8496"/>
          <w:tab w:val="right" w:pos="8504"/>
          <w:tab w:val="left" w:pos="8520"/>
        </w:tabs>
        <w:jc w:val="both"/>
      </w:pPr>
      <w:r w:rsidRPr="015AD2CD">
        <w:rPr>
          <w:rFonts w:eastAsia="Arial" w:cs="Arial"/>
          <w:b/>
          <w:bCs/>
          <w:color w:val="000000" w:themeColor="text1"/>
          <w:szCs w:val="24"/>
        </w:rPr>
        <w:t xml:space="preserve"> </w:t>
      </w:r>
    </w:p>
    <w:p w14:paraId="2AE6D1DD" w14:textId="71566DBC" w:rsidR="00434E80" w:rsidRDefault="0DED14D5" w:rsidP="015AD2CD">
      <w:pPr>
        <w:pStyle w:val="Prrafodelista"/>
        <w:numPr>
          <w:ilvl w:val="2"/>
          <w:numId w:val="1"/>
        </w:numPr>
        <w:spacing w:after="0" w:line="257" w:lineRule="auto"/>
        <w:ind w:left="1701" w:hanging="839"/>
        <w:jc w:val="both"/>
        <w:rPr>
          <w:rFonts w:ascii="Arial" w:eastAsia="Arial" w:hAnsi="Arial" w:cs="Arial"/>
          <w:b/>
          <w:bCs/>
          <w:color w:val="000000" w:themeColor="text1"/>
          <w:sz w:val="24"/>
          <w:szCs w:val="24"/>
        </w:rPr>
      </w:pPr>
      <w:r w:rsidRPr="015AD2CD">
        <w:rPr>
          <w:rFonts w:ascii="Arial" w:eastAsia="Arial" w:hAnsi="Arial" w:cs="Arial"/>
          <w:b/>
          <w:bCs/>
          <w:color w:val="000000" w:themeColor="text1"/>
          <w:sz w:val="24"/>
          <w:szCs w:val="24"/>
        </w:rPr>
        <w:t>Conciliação de excedentes líquidos com as contas bancárias</w:t>
      </w:r>
    </w:p>
    <w:p w14:paraId="37C40DAF" w14:textId="4A6A65C1" w:rsidR="00434E80" w:rsidRDefault="0DED14D5" w:rsidP="015AD2CD">
      <w:pPr>
        <w:jc w:val="both"/>
      </w:pPr>
      <w:r w:rsidRPr="015AD2CD">
        <w:rPr>
          <w:rFonts w:eastAsia="Arial" w:cs="Arial"/>
          <w:szCs w:val="24"/>
        </w:rPr>
        <w:t xml:space="preserve"> </w:t>
      </w:r>
    </w:p>
    <w:p w14:paraId="5DD8ED01" w14:textId="6FC8336F" w:rsidR="00434E80" w:rsidRDefault="0DED14D5" w:rsidP="015AD2CD">
      <w:pPr>
        <w:jc w:val="both"/>
      </w:pPr>
      <w:r w:rsidRPr="015AD2CD">
        <w:rPr>
          <w:rFonts w:eastAsia="Arial" w:cs="Arial"/>
          <w:szCs w:val="24"/>
        </w:rPr>
        <w:t xml:space="preserve">O GAO tomou nota dos quadros do total de excedentes disponíveis nas contas bancárias do ISM em 31 de julho de 2025 (enviado em 13 de agosto de 2025) </w:t>
      </w:r>
      <w:r w:rsidRPr="015AD2CD">
        <w:rPr>
          <w:rFonts w:eastAsia="Arial" w:cs="Arial"/>
          <w:b/>
          <w:bCs/>
          <w:szCs w:val="24"/>
        </w:rPr>
        <w:t>(Anexo XX)</w:t>
      </w:r>
      <w:r w:rsidRPr="015AD2CD">
        <w:rPr>
          <w:rFonts w:eastAsia="Arial" w:cs="Arial"/>
          <w:szCs w:val="24"/>
        </w:rPr>
        <w:t>.</w:t>
      </w:r>
    </w:p>
    <w:p w14:paraId="0702A182" w14:textId="05A7707E" w:rsidR="00434E80" w:rsidRDefault="0DED14D5" w:rsidP="015AD2CD">
      <w:pPr>
        <w:jc w:val="both"/>
      </w:pPr>
      <w:r w:rsidRPr="015AD2CD">
        <w:rPr>
          <w:rFonts w:eastAsia="Arial" w:cs="Arial"/>
          <w:color w:val="EE0000"/>
          <w:szCs w:val="24"/>
        </w:rPr>
        <w:t xml:space="preserve"> </w:t>
      </w:r>
    </w:p>
    <w:p w14:paraId="1977D7B1" w14:textId="20AFFDB8" w:rsidR="00434E80" w:rsidRDefault="0DED14D5" w:rsidP="015AD2CD">
      <w:pPr>
        <w:jc w:val="both"/>
      </w:pPr>
      <w:r w:rsidRPr="015AD2CD">
        <w:rPr>
          <w:rFonts w:eastAsia="Arial" w:cs="Arial"/>
          <w:szCs w:val="24"/>
        </w:rPr>
        <w:t>Tais excedentes totalizam, em 31 de julho de 2025, US$</w:t>
      </w:r>
      <w:r w:rsidRPr="015AD2CD">
        <w:rPr>
          <w:rFonts w:eastAsia="Arial" w:cs="Arial"/>
          <w:color w:val="EE0000"/>
          <w:szCs w:val="24"/>
        </w:rPr>
        <w:t xml:space="preserve"> </w:t>
      </w:r>
      <w:r w:rsidRPr="015AD2CD">
        <w:rPr>
          <w:rFonts w:eastAsia="Arial" w:cs="Arial"/>
          <w:szCs w:val="24"/>
        </w:rPr>
        <w:t>2.137.882.</w:t>
      </w:r>
    </w:p>
    <w:p w14:paraId="6C6E13E9" w14:textId="532C19CC" w:rsidR="00434E80" w:rsidRDefault="0DED14D5" w:rsidP="015AD2CD">
      <w:pPr>
        <w:jc w:val="both"/>
      </w:pPr>
      <w:r w:rsidRPr="015AD2CD">
        <w:rPr>
          <w:rFonts w:eastAsia="Arial" w:cs="Arial"/>
          <w:szCs w:val="24"/>
        </w:rPr>
        <w:t xml:space="preserve"> </w:t>
      </w:r>
    </w:p>
    <w:p w14:paraId="6A8D3FB0" w14:textId="7E614AD7" w:rsidR="00434E80" w:rsidRDefault="0DED14D5" w:rsidP="015AD2CD">
      <w:pPr>
        <w:pStyle w:val="Prrafodelista"/>
        <w:numPr>
          <w:ilvl w:val="1"/>
          <w:numId w:val="1"/>
        </w:numPr>
        <w:spacing w:after="0"/>
        <w:ind w:left="993" w:hanging="567"/>
        <w:jc w:val="both"/>
        <w:rPr>
          <w:rFonts w:ascii="Arial" w:eastAsia="Arial" w:hAnsi="Arial" w:cs="Arial"/>
          <w:sz w:val="24"/>
          <w:szCs w:val="24"/>
        </w:rPr>
      </w:pPr>
      <w:r w:rsidRPr="015AD2CD">
        <w:rPr>
          <w:rFonts w:ascii="Arial" w:eastAsia="Arial" w:hAnsi="Arial" w:cs="Arial"/>
          <w:b/>
          <w:bCs/>
          <w:sz w:val="24"/>
          <w:szCs w:val="24"/>
        </w:rPr>
        <w:t xml:space="preserve">Transposição de Fundos – Nota ISM N° 09/25 – </w:t>
      </w:r>
      <w:r w:rsidRPr="015AD2CD">
        <w:rPr>
          <w:rFonts w:ascii="Arial" w:eastAsia="Arial" w:hAnsi="Arial" w:cs="Arial"/>
          <w:sz w:val="24"/>
          <w:szCs w:val="24"/>
        </w:rPr>
        <w:t>“</w:t>
      </w:r>
      <w:proofErr w:type="spellStart"/>
      <w:r w:rsidRPr="015AD2CD">
        <w:rPr>
          <w:rFonts w:ascii="Arial" w:eastAsia="Arial" w:hAnsi="Arial" w:cs="Arial"/>
          <w:sz w:val="24"/>
          <w:szCs w:val="24"/>
        </w:rPr>
        <w:t>Solicitud</w:t>
      </w:r>
      <w:proofErr w:type="spellEnd"/>
      <w:r w:rsidRPr="015AD2CD">
        <w:rPr>
          <w:rFonts w:ascii="Arial" w:eastAsia="Arial" w:hAnsi="Arial" w:cs="Arial"/>
          <w:sz w:val="24"/>
          <w:szCs w:val="24"/>
        </w:rPr>
        <w:t xml:space="preserve"> de </w:t>
      </w:r>
      <w:proofErr w:type="spellStart"/>
      <w:r w:rsidRPr="015AD2CD">
        <w:rPr>
          <w:rFonts w:ascii="Arial" w:eastAsia="Arial" w:hAnsi="Arial" w:cs="Arial"/>
          <w:sz w:val="24"/>
          <w:szCs w:val="24"/>
        </w:rPr>
        <w:t>Transposición</w:t>
      </w:r>
      <w:proofErr w:type="spellEnd"/>
      <w:r w:rsidRPr="015AD2CD">
        <w:rPr>
          <w:rFonts w:ascii="Arial" w:eastAsia="Arial" w:hAnsi="Arial" w:cs="Arial"/>
          <w:sz w:val="24"/>
          <w:szCs w:val="24"/>
        </w:rPr>
        <w:t xml:space="preserve"> de </w:t>
      </w:r>
      <w:proofErr w:type="spellStart"/>
      <w:r w:rsidRPr="015AD2CD">
        <w:rPr>
          <w:rFonts w:ascii="Arial" w:eastAsia="Arial" w:hAnsi="Arial" w:cs="Arial"/>
          <w:sz w:val="24"/>
          <w:szCs w:val="24"/>
        </w:rPr>
        <w:t>Fondos</w:t>
      </w:r>
      <w:proofErr w:type="spellEnd"/>
      <w:r w:rsidRPr="015AD2CD">
        <w:rPr>
          <w:rFonts w:ascii="Arial" w:eastAsia="Arial" w:hAnsi="Arial" w:cs="Arial"/>
          <w:sz w:val="24"/>
          <w:szCs w:val="24"/>
        </w:rPr>
        <w:t xml:space="preserve"> – </w:t>
      </w:r>
      <w:proofErr w:type="spellStart"/>
      <w:r w:rsidRPr="015AD2CD">
        <w:rPr>
          <w:rFonts w:ascii="Arial" w:eastAsia="Arial" w:hAnsi="Arial" w:cs="Arial"/>
          <w:sz w:val="24"/>
          <w:szCs w:val="24"/>
        </w:rPr>
        <w:t>Presupuesto</w:t>
      </w:r>
      <w:proofErr w:type="spellEnd"/>
      <w:r w:rsidRPr="015AD2CD">
        <w:rPr>
          <w:rFonts w:ascii="Arial" w:eastAsia="Arial" w:hAnsi="Arial" w:cs="Arial"/>
          <w:sz w:val="24"/>
          <w:szCs w:val="24"/>
        </w:rPr>
        <w:t xml:space="preserve"> 2025 – Rubro Consumo y </w:t>
      </w:r>
      <w:proofErr w:type="spellStart"/>
      <w:r w:rsidRPr="015AD2CD">
        <w:rPr>
          <w:rFonts w:ascii="Arial" w:eastAsia="Arial" w:hAnsi="Arial" w:cs="Arial"/>
          <w:sz w:val="24"/>
          <w:szCs w:val="24"/>
        </w:rPr>
        <w:t>Servicios</w:t>
      </w:r>
      <w:proofErr w:type="spellEnd"/>
      <w:r w:rsidRPr="015AD2CD">
        <w:rPr>
          <w:rFonts w:ascii="Arial" w:eastAsia="Arial" w:hAnsi="Arial" w:cs="Arial"/>
          <w:sz w:val="24"/>
          <w:szCs w:val="24"/>
        </w:rPr>
        <w:t xml:space="preserve"> Relacionados a </w:t>
      </w:r>
      <w:proofErr w:type="spellStart"/>
      <w:r w:rsidRPr="015AD2CD">
        <w:rPr>
          <w:rFonts w:ascii="Arial" w:eastAsia="Arial" w:hAnsi="Arial" w:cs="Arial"/>
          <w:sz w:val="24"/>
          <w:szCs w:val="24"/>
        </w:rPr>
        <w:t>las</w:t>
      </w:r>
      <w:proofErr w:type="spellEnd"/>
      <w:r w:rsidRPr="015AD2CD">
        <w:rPr>
          <w:rFonts w:ascii="Arial" w:eastAsia="Arial" w:hAnsi="Arial" w:cs="Arial"/>
          <w:sz w:val="24"/>
          <w:szCs w:val="24"/>
        </w:rPr>
        <w:t xml:space="preserve"> </w:t>
      </w:r>
      <w:proofErr w:type="spellStart"/>
      <w:r w:rsidRPr="015AD2CD">
        <w:rPr>
          <w:rFonts w:ascii="Arial" w:eastAsia="Arial" w:hAnsi="Arial" w:cs="Arial"/>
          <w:sz w:val="24"/>
          <w:szCs w:val="24"/>
        </w:rPr>
        <w:t>Actividades</w:t>
      </w:r>
      <w:proofErr w:type="spellEnd"/>
      <w:r w:rsidRPr="015AD2CD">
        <w:rPr>
          <w:rFonts w:ascii="Arial" w:eastAsia="Arial" w:hAnsi="Arial" w:cs="Arial"/>
          <w:sz w:val="24"/>
          <w:szCs w:val="24"/>
        </w:rPr>
        <w:t xml:space="preserve"> </w:t>
      </w:r>
      <w:proofErr w:type="spellStart"/>
      <w:r w:rsidRPr="015AD2CD">
        <w:rPr>
          <w:rFonts w:ascii="Arial" w:eastAsia="Arial" w:hAnsi="Arial" w:cs="Arial"/>
          <w:sz w:val="24"/>
          <w:szCs w:val="24"/>
        </w:rPr>
        <w:t>Institucionales</w:t>
      </w:r>
      <w:proofErr w:type="spellEnd"/>
      <w:r w:rsidRPr="015AD2CD">
        <w:rPr>
          <w:rFonts w:ascii="Arial" w:eastAsia="Arial" w:hAnsi="Arial" w:cs="Arial"/>
          <w:sz w:val="24"/>
          <w:szCs w:val="24"/>
        </w:rPr>
        <w:t>”</w:t>
      </w:r>
    </w:p>
    <w:p w14:paraId="0185C57E" w14:textId="2FF04BE0" w:rsidR="00434E80" w:rsidRDefault="0DED14D5" w:rsidP="015AD2CD">
      <w:pPr>
        <w:tabs>
          <w:tab w:val="left" w:pos="426"/>
          <w:tab w:val="left" w:pos="708"/>
          <w:tab w:val="left" w:pos="1276"/>
          <w:tab w:val="left" w:pos="1416"/>
          <w:tab w:val="left" w:pos="2124"/>
          <w:tab w:val="left" w:pos="2832"/>
          <w:tab w:val="left" w:pos="3540"/>
          <w:tab w:val="left" w:pos="4248"/>
          <w:tab w:val="center" w:pos="4252"/>
          <w:tab w:val="left" w:pos="4956"/>
          <w:tab w:val="left" w:pos="5664"/>
          <w:tab w:val="left" w:pos="6372"/>
          <w:tab w:val="left" w:pos="7080"/>
          <w:tab w:val="left" w:pos="7788"/>
          <w:tab w:val="left" w:pos="8496"/>
          <w:tab w:val="right" w:pos="8504"/>
          <w:tab w:val="left" w:pos="8520"/>
        </w:tabs>
        <w:ind w:left="426"/>
        <w:jc w:val="both"/>
      </w:pPr>
      <w:r w:rsidRPr="015AD2CD">
        <w:rPr>
          <w:rFonts w:eastAsia="Arial" w:cs="Arial"/>
          <w:b/>
          <w:bCs/>
          <w:szCs w:val="24"/>
        </w:rPr>
        <w:t xml:space="preserve"> </w:t>
      </w:r>
    </w:p>
    <w:p w14:paraId="584497CA" w14:textId="2CA8F9A8" w:rsidR="00434E80" w:rsidRDefault="0DED14D5" w:rsidP="015AD2CD">
      <w:pPr>
        <w:tabs>
          <w:tab w:val="left" w:pos="426"/>
          <w:tab w:val="left" w:pos="708"/>
          <w:tab w:val="left" w:pos="1276"/>
          <w:tab w:val="left" w:pos="1416"/>
          <w:tab w:val="left" w:pos="2124"/>
          <w:tab w:val="left" w:pos="2832"/>
          <w:tab w:val="left" w:pos="3540"/>
          <w:tab w:val="left" w:pos="4248"/>
          <w:tab w:val="center" w:pos="4252"/>
          <w:tab w:val="left" w:pos="4956"/>
          <w:tab w:val="left" w:pos="5664"/>
          <w:tab w:val="left" w:pos="6372"/>
          <w:tab w:val="left" w:pos="7080"/>
          <w:tab w:val="left" w:pos="7788"/>
          <w:tab w:val="left" w:pos="8496"/>
          <w:tab w:val="right" w:pos="8504"/>
          <w:tab w:val="left" w:pos="8520"/>
        </w:tabs>
        <w:jc w:val="both"/>
      </w:pPr>
      <w:r w:rsidRPr="015AD2CD">
        <w:rPr>
          <w:rFonts w:eastAsia="Arial" w:cs="Arial"/>
          <w:szCs w:val="24"/>
        </w:rPr>
        <w:t xml:space="preserve">O GAO tomou nota da autorização de transposição pelo GMC, por meio da Nota PPTA Nº 169/2025 (2/07/2025). </w:t>
      </w:r>
    </w:p>
    <w:p w14:paraId="322FA47A" w14:textId="328DB7B7" w:rsidR="00434E80" w:rsidRDefault="0DED14D5" w:rsidP="015AD2CD">
      <w:pPr>
        <w:tabs>
          <w:tab w:val="left" w:pos="426"/>
          <w:tab w:val="left" w:pos="708"/>
          <w:tab w:val="left" w:pos="1276"/>
          <w:tab w:val="left" w:pos="1416"/>
          <w:tab w:val="left" w:pos="2124"/>
          <w:tab w:val="left" w:pos="2832"/>
          <w:tab w:val="left" w:pos="3540"/>
          <w:tab w:val="left" w:pos="4248"/>
          <w:tab w:val="center" w:pos="4252"/>
          <w:tab w:val="left" w:pos="4956"/>
          <w:tab w:val="left" w:pos="5664"/>
          <w:tab w:val="left" w:pos="6372"/>
          <w:tab w:val="left" w:pos="7080"/>
          <w:tab w:val="left" w:pos="7788"/>
          <w:tab w:val="left" w:pos="8496"/>
          <w:tab w:val="right" w:pos="8504"/>
          <w:tab w:val="left" w:pos="8520"/>
        </w:tabs>
        <w:ind w:left="426"/>
        <w:jc w:val="both"/>
      </w:pPr>
      <w:r w:rsidRPr="015AD2CD">
        <w:rPr>
          <w:rFonts w:eastAsia="Arial" w:cs="Arial"/>
          <w:szCs w:val="24"/>
        </w:rPr>
        <w:t xml:space="preserve"> </w:t>
      </w:r>
    </w:p>
    <w:p w14:paraId="363E5726" w14:textId="6E51ACD4" w:rsidR="00434E80" w:rsidRDefault="0DED14D5" w:rsidP="015AD2CD">
      <w:pPr>
        <w:pStyle w:val="Prrafodelista"/>
        <w:numPr>
          <w:ilvl w:val="1"/>
          <w:numId w:val="1"/>
        </w:numPr>
        <w:spacing w:after="0"/>
        <w:ind w:left="993" w:hanging="567"/>
        <w:jc w:val="both"/>
        <w:rPr>
          <w:rFonts w:ascii="Arial" w:eastAsia="Arial" w:hAnsi="Arial" w:cs="Arial"/>
          <w:sz w:val="24"/>
          <w:szCs w:val="24"/>
        </w:rPr>
      </w:pPr>
      <w:r w:rsidRPr="015AD2CD">
        <w:rPr>
          <w:rFonts w:ascii="Arial" w:eastAsia="Arial" w:hAnsi="Arial" w:cs="Arial"/>
          <w:b/>
          <w:bCs/>
          <w:sz w:val="24"/>
          <w:szCs w:val="24"/>
        </w:rPr>
        <w:t xml:space="preserve">Devolução de Fundos </w:t>
      </w:r>
      <w:r w:rsidRPr="015AD2CD">
        <w:rPr>
          <w:rFonts w:ascii="Arial" w:eastAsia="Arial" w:hAnsi="Arial" w:cs="Arial"/>
          <w:sz w:val="24"/>
          <w:szCs w:val="24"/>
        </w:rPr>
        <w:t>(Projeto BRA/04/044-S380 – “Fortalecimento do ISM”)</w:t>
      </w:r>
    </w:p>
    <w:p w14:paraId="3BCF38B8" w14:textId="6687BA4A" w:rsidR="00434E80" w:rsidRDefault="0DED14D5" w:rsidP="015AD2CD">
      <w:r w:rsidRPr="015AD2CD">
        <w:rPr>
          <w:rFonts w:eastAsia="Arial" w:cs="Arial"/>
          <w:b/>
          <w:bCs/>
          <w:szCs w:val="24"/>
        </w:rPr>
        <w:t xml:space="preserve"> </w:t>
      </w:r>
    </w:p>
    <w:p w14:paraId="584E7E1B" w14:textId="09861541" w:rsidR="00434E80" w:rsidRDefault="0DED14D5" w:rsidP="015AD2CD">
      <w:pPr>
        <w:jc w:val="both"/>
      </w:pPr>
      <w:r w:rsidRPr="015AD2CD">
        <w:rPr>
          <w:rFonts w:eastAsia="Arial" w:cs="Arial"/>
          <w:szCs w:val="24"/>
        </w:rPr>
        <w:t xml:space="preserve">O GAO tomou conhecimento da Nota ISM Nº 25/25, que relata a finalização </w:t>
      </w:r>
      <w:proofErr w:type="gramStart"/>
      <w:r w:rsidRPr="015AD2CD">
        <w:rPr>
          <w:rFonts w:eastAsia="Arial" w:cs="Arial"/>
          <w:szCs w:val="24"/>
        </w:rPr>
        <w:t>da  devolução</w:t>
      </w:r>
      <w:proofErr w:type="gramEnd"/>
      <w:r w:rsidRPr="015AD2CD">
        <w:rPr>
          <w:rFonts w:eastAsia="Arial" w:cs="Arial"/>
          <w:szCs w:val="24"/>
        </w:rPr>
        <w:t xml:space="preserve"> de recursos do projeto de Fortalecimento da Cooperação Técnica ISM, entre a ISM e a ABC, no valor de US$ 62.847.</w:t>
      </w:r>
    </w:p>
    <w:p w14:paraId="0F06E4FB" w14:textId="4EA2F05B" w:rsidR="00434E80" w:rsidRDefault="0DED14D5" w:rsidP="015AD2CD">
      <w:r w:rsidRPr="015AD2CD">
        <w:rPr>
          <w:rFonts w:eastAsia="Arial" w:cs="Arial"/>
          <w:b/>
          <w:bCs/>
          <w:szCs w:val="24"/>
        </w:rPr>
        <w:t xml:space="preserve"> </w:t>
      </w:r>
    </w:p>
    <w:p w14:paraId="04816F23" w14:textId="50E322E5" w:rsidR="00434E80" w:rsidRDefault="0DED14D5" w:rsidP="015AD2CD">
      <w:pPr>
        <w:pStyle w:val="Prrafodelista"/>
        <w:numPr>
          <w:ilvl w:val="1"/>
          <w:numId w:val="1"/>
        </w:numPr>
        <w:spacing w:after="0"/>
        <w:ind w:left="993" w:hanging="567"/>
        <w:jc w:val="both"/>
        <w:rPr>
          <w:rFonts w:ascii="Arial" w:eastAsia="Arial" w:hAnsi="Arial" w:cs="Arial"/>
          <w:b/>
          <w:bCs/>
          <w:sz w:val="24"/>
          <w:szCs w:val="24"/>
        </w:rPr>
      </w:pPr>
      <w:r w:rsidRPr="015AD2CD">
        <w:rPr>
          <w:rFonts w:ascii="Arial" w:eastAsia="Arial" w:hAnsi="Arial" w:cs="Arial"/>
          <w:b/>
          <w:bCs/>
          <w:sz w:val="24"/>
          <w:szCs w:val="24"/>
        </w:rPr>
        <w:t>Despesas relacionadas à Mudança de Sede do ISM</w:t>
      </w:r>
    </w:p>
    <w:p w14:paraId="396A7608" w14:textId="270D5127" w:rsidR="00434E80" w:rsidRDefault="0DED14D5" w:rsidP="015AD2CD">
      <w:pPr>
        <w:jc w:val="both"/>
      </w:pPr>
      <w:r w:rsidRPr="015AD2CD">
        <w:rPr>
          <w:rFonts w:eastAsia="Arial" w:cs="Arial"/>
          <w:szCs w:val="24"/>
        </w:rPr>
        <w:t xml:space="preserve"> </w:t>
      </w:r>
    </w:p>
    <w:p w14:paraId="13997A39" w14:textId="1C17ABB9" w:rsidR="00434E80" w:rsidRDefault="0DED14D5" w:rsidP="015AD2CD">
      <w:pPr>
        <w:jc w:val="both"/>
      </w:pPr>
      <w:r w:rsidRPr="015AD2CD">
        <w:rPr>
          <w:rFonts w:eastAsia="Arial" w:cs="Arial"/>
          <w:szCs w:val="24"/>
        </w:rPr>
        <w:t xml:space="preserve">O GAO tomou conhecimento da Nota PPTB Nº 10/2025 (18/07/2025), pela qual se autoriza ao ISM o uso de até US$ 1.500 do orçamento ordinário do ISM para cobrir os gastos de mudança de sede do órgão. </w:t>
      </w:r>
    </w:p>
    <w:p w14:paraId="3E79092D" w14:textId="7CC95065" w:rsidR="00434E80" w:rsidRDefault="0DED14D5" w:rsidP="015AD2CD">
      <w:pPr>
        <w:jc w:val="both"/>
      </w:pPr>
      <w:r w:rsidRPr="015AD2CD">
        <w:rPr>
          <w:rFonts w:eastAsia="Arial" w:cs="Arial"/>
          <w:szCs w:val="24"/>
        </w:rPr>
        <w:t xml:space="preserve"> </w:t>
      </w:r>
    </w:p>
    <w:p w14:paraId="479C0C01" w14:textId="2B9756D9" w:rsidR="00434E80" w:rsidRDefault="0DED14D5" w:rsidP="015AD2CD">
      <w:pPr>
        <w:jc w:val="both"/>
      </w:pPr>
      <w:r w:rsidRPr="015AD2CD">
        <w:rPr>
          <w:rFonts w:eastAsia="Arial" w:cs="Arial"/>
          <w:szCs w:val="24"/>
        </w:rPr>
        <w:t xml:space="preserve"> </w:t>
      </w:r>
    </w:p>
    <w:p w14:paraId="5DD1228F" w14:textId="7702D142" w:rsidR="00434E80" w:rsidRDefault="0DED14D5" w:rsidP="015AD2CD">
      <w:pPr>
        <w:pStyle w:val="Prrafodelista"/>
        <w:numPr>
          <w:ilvl w:val="0"/>
          <w:numId w:val="1"/>
        </w:numPr>
        <w:spacing w:after="0"/>
        <w:ind w:left="567" w:hanging="567"/>
        <w:jc w:val="both"/>
        <w:rPr>
          <w:rFonts w:ascii="Arial" w:eastAsia="Arial" w:hAnsi="Arial" w:cs="Arial"/>
          <w:b/>
          <w:bCs/>
          <w:color w:val="000000" w:themeColor="text1"/>
          <w:sz w:val="24"/>
          <w:szCs w:val="24"/>
        </w:rPr>
      </w:pPr>
      <w:r w:rsidRPr="015AD2CD">
        <w:rPr>
          <w:rFonts w:ascii="Arial" w:eastAsia="Arial" w:hAnsi="Arial" w:cs="Arial"/>
          <w:b/>
          <w:bCs/>
          <w:color w:val="000000" w:themeColor="text1"/>
          <w:sz w:val="24"/>
          <w:szCs w:val="24"/>
        </w:rPr>
        <w:t>INSTITUTO DE POLÍTICAS PÚBLICAS DE DIREITOS HUMANOS (IPPDH)</w:t>
      </w:r>
    </w:p>
    <w:p w14:paraId="7E2B0F45" w14:textId="000115FC" w:rsidR="00434E80" w:rsidRDefault="0DED14D5" w:rsidP="015AD2CD">
      <w:pPr>
        <w:tabs>
          <w:tab w:val="left" w:pos="708"/>
          <w:tab w:val="left" w:pos="1416"/>
          <w:tab w:val="left" w:pos="2124"/>
          <w:tab w:val="left" w:pos="2832"/>
          <w:tab w:val="left" w:pos="3540"/>
          <w:tab w:val="left" w:pos="4248"/>
          <w:tab w:val="center" w:pos="4252"/>
          <w:tab w:val="left" w:pos="4956"/>
          <w:tab w:val="left" w:pos="5664"/>
          <w:tab w:val="left" w:pos="6372"/>
          <w:tab w:val="left" w:pos="7080"/>
          <w:tab w:val="left" w:pos="7788"/>
          <w:tab w:val="left" w:pos="8496"/>
          <w:tab w:val="right" w:pos="8504"/>
          <w:tab w:val="left" w:pos="8520"/>
        </w:tabs>
        <w:ind w:left="502"/>
        <w:jc w:val="both"/>
      </w:pPr>
      <w:r w:rsidRPr="015AD2CD">
        <w:rPr>
          <w:rFonts w:eastAsia="Arial" w:cs="Arial"/>
          <w:b/>
          <w:bCs/>
          <w:szCs w:val="24"/>
        </w:rPr>
        <w:t xml:space="preserve"> </w:t>
      </w:r>
    </w:p>
    <w:p w14:paraId="0CA3679E" w14:textId="313214C6" w:rsidR="00434E80" w:rsidRDefault="0DED14D5" w:rsidP="015AD2CD">
      <w:pPr>
        <w:pStyle w:val="Prrafodelista"/>
        <w:numPr>
          <w:ilvl w:val="1"/>
          <w:numId w:val="1"/>
        </w:numPr>
        <w:spacing w:after="0"/>
        <w:ind w:left="993" w:hanging="567"/>
        <w:jc w:val="both"/>
        <w:rPr>
          <w:rFonts w:ascii="Arial" w:eastAsia="Arial" w:hAnsi="Arial" w:cs="Arial"/>
          <w:b/>
          <w:bCs/>
          <w:color w:val="000000" w:themeColor="text1"/>
          <w:sz w:val="24"/>
          <w:szCs w:val="24"/>
        </w:rPr>
      </w:pPr>
      <w:r w:rsidRPr="015AD2CD">
        <w:rPr>
          <w:rFonts w:ascii="Arial" w:eastAsia="Arial" w:hAnsi="Arial" w:cs="Arial"/>
          <w:b/>
          <w:bCs/>
          <w:color w:val="000000" w:themeColor="text1"/>
          <w:sz w:val="24"/>
          <w:szCs w:val="24"/>
        </w:rPr>
        <w:t xml:space="preserve">Informes mensais sobre execução orçamentaria e aportes recebidos – Execução orçamentária entre 01/04/2025 e 31/07/2025 </w:t>
      </w:r>
    </w:p>
    <w:p w14:paraId="4EE57BE9" w14:textId="3AF848E3" w:rsidR="00434E80" w:rsidRDefault="0DED14D5" w:rsidP="015AD2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20"/>
        </w:tabs>
        <w:jc w:val="both"/>
      </w:pPr>
      <w:r w:rsidRPr="015AD2CD">
        <w:rPr>
          <w:rFonts w:eastAsia="Arial" w:cs="Arial"/>
          <w:szCs w:val="24"/>
        </w:rPr>
        <w:t xml:space="preserve"> </w:t>
      </w:r>
    </w:p>
    <w:p w14:paraId="2E4449C5" w14:textId="7A2AF4EA" w:rsidR="00434E80" w:rsidRDefault="0DED14D5" w:rsidP="015AD2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20"/>
        </w:tabs>
        <w:jc w:val="both"/>
      </w:pPr>
      <w:r w:rsidRPr="015AD2CD">
        <w:rPr>
          <w:rFonts w:eastAsia="Arial" w:cs="Arial"/>
          <w:szCs w:val="24"/>
        </w:rPr>
        <w:t xml:space="preserve">O </w:t>
      </w:r>
      <w:r w:rsidRPr="015AD2CD">
        <w:rPr>
          <w:rFonts w:eastAsia="Arial" w:cs="Arial"/>
          <w:color w:val="000000" w:themeColor="text1"/>
          <w:szCs w:val="24"/>
        </w:rPr>
        <w:t>GAO recebeu o relatório de execução orçamentária de 1</w:t>
      </w:r>
      <w:r w:rsidRPr="015AD2CD">
        <w:rPr>
          <w:rFonts w:eastAsia="Arial" w:cs="Arial"/>
          <w:color w:val="000000" w:themeColor="text1"/>
          <w:sz w:val="26"/>
          <w:szCs w:val="26"/>
        </w:rPr>
        <w:t>º</w:t>
      </w:r>
      <w:r w:rsidRPr="015AD2CD">
        <w:rPr>
          <w:rFonts w:eastAsia="Arial" w:cs="Arial"/>
          <w:color w:val="000000" w:themeColor="text1"/>
          <w:szCs w:val="24"/>
        </w:rPr>
        <w:t xml:space="preserve"> de janeiro a 30 de junho de 2025, enviado pela nota </w:t>
      </w:r>
      <w:r w:rsidRPr="015AD2CD">
        <w:rPr>
          <w:rFonts w:eastAsia="Arial" w:cs="Arial"/>
          <w:szCs w:val="24"/>
        </w:rPr>
        <w:t xml:space="preserve">IPPDH/Nota-S-112/25 de 25 de agosto </w:t>
      </w:r>
      <w:r w:rsidRPr="015AD2CD">
        <w:rPr>
          <w:rFonts w:eastAsia="Arial" w:cs="Arial"/>
          <w:color w:val="000000" w:themeColor="text1"/>
          <w:szCs w:val="24"/>
        </w:rPr>
        <w:t xml:space="preserve">de 2025 </w:t>
      </w:r>
      <w:r w:rsidRPr="015AD2CD">
        <w:rPr>
          <w:rFonts w:eastAsia="Arial" w:cs="Arial"/>
          <w:b/>
          <w:bCs/>
          <w:color w:val="000000" w:themeColor="text1"/>
          <w:szCs w:val="24"/>
        </w:rPr>
        <w:t>(Anexo XXI).</w:t>
      </w:r>
    </w:p>
    <w:p w14:paraId="0DF2465F" w14:textId="6B518A18" w:rsidR="00434E80" w:rsidRDefault="0DED14D5" w:rsidP="015AD2CD">
      <w:pPr>
        <w:tabs>
          <w:tab w:val="left" w:pos="426"/>
          <w:tab w:val="left" w:pos="708"/>
          <w:tab w:val="left" w:pos="1416"/>
          <w:tab w:val="left" w:pos="2124"/>
          <w:tab w:val="left" w:pos="2832"/>
          <w:tab w:val="left" w:pos="3540"/>
          <w:tab w:val="left" w:pos="4248"/>
          <w:tab w:val="center" w:pos="4252"/>
          <w:tab w:val="left" w:pos="4956"/>
          <w:tab w:val="left" w:pos="5664"/>
          <w:tab w:val="left" w:pos="6372"/>
          <w:tab w:val="left" w:pos="7080"/>
          <w:tab w:val="left" w:pos="7788"/>
          <w:tab w:val="left" w:pos="8496"/>
          <w:tab w:val="right" w:pos="8504"/>
          <w:tab w:val="left" w:pos="8520"/>
        </w:tabs>
        <w:jc w:val="both"/>
      </w:pPr>
      <w:r w:rsidRPr="015AD2CD">
        <w:rPr>
          <w:rFonts w:eastAsia="Arial" w:cs="Arial"/>
          <w:b/>
          <w:bCs/>
          <w:color w:val="000000" w:themeColor="text1"/>
          <w:szCs w:val="24"/>
        </w:rPr>
        <w:t xml:space="preserve"> </w:t>
      </w:r>
    </w:p>
    <w:p w14:paraId="0D720085" w14:textId="2CDF9B43" w:rsidR="00434E80" w:rsidRDefault="0DED14D5" w:rsidP="015AD2CD">
      <w:pPr>
        <w:tabs>
          <w:tab w:val="left" w:pos="426"/>
          <w:tab w:val="left" w:pos="708"/>
          <w:tab w:val="left" w:pos="1416"/>
          <w:tab w:val="left" w:pos="2124"/>
          <w:tab w:val="left" w:pos="2832"/>
          <w:tab w:val="left" w:pos="3540"/>
          <w:tab w:val="left" w:pos="4248"/>
          <w:tab w:val="center" w:pos="4252"/>
          <w:tab w:val="left" w:pos="4956"/>
          <w:tab w:val="left" w:pos="5664"/>
          <w:tab w:val="left" w:pos="6372"/>
          <w:tab w:val="left" w:pos="7080"/>
          <w:tab w:val="left" w:pos="7788"/>
          <w:tab w:val="left" w:pos="8496"/>
          <w:tab w:val="right" w:pos="8504"/>
          <w:tab w:val="left" w:pos="8520"/>
        </w:tabs>
        <w:jc w:val="both"/>
      </w:pPr>
      <w:r w:rsidRPr="015AD2CD">
        <w:rPr>
          <w:rFonts w:eastAsia="Arial" w:cs="Arial"/>
          <w:color w:val="000000" w:themeColor="text1"/>
          <w:szCs w:val="24"/>
        </w:rPr>
        <w:t xml:space="preserve">Em relação ao informe correspondente ao mês de julho, o GAO recordou ao IPPDH que, conforme o estabelecido no terceiro parágrafo do Capítulo III do </w:t>
      </w:r>
      <w:r w:rsidRPr="015AD2CD">
        <w:rPr>
          <w:rFonts w:eastAsia="Arial" w:cs="Arial"/>
          <w:color w:val="000000" w:themeColor="text1"/>
          <w:szCs w:val="24"/>
        </w:rPr>
        <w:lastRenderedPageBreak/>
        <w:t>Título IV do anexo da Res. GMC Nº 60/18, os informes mensais devem ser remetidos dentro dos 15 (quinze) primeiros dias de cada mês.</w:t>
      </w:r>
    </w:p>
    <w:p w14:paraId="34B46E37" w14:textId="27EA504A" w:rsidR="00434E80" w:rsidRDefault="0DED14D5" w:rsidP="015AD2CD">
      <w:pPr>
        <w:tabs>
          <w:tab w:val="left" w:pos="426"/>
          <w:tab w:val="left" w:pos="708"/>
          <w:tab w:val="left" w:pos="1416"/>
          <w:tab w:val="left" w:pos="2124"/>
          <w:tab w:val="left" w:pos="2832"/>
          <w:tab w:val="left" w:pos="3540"/>
          <w:tab w:val="left" w:pos="4248"/>
          <w:tab w:val="center" w:pos="4252"/>
          <w:tab w:val="left" w:pos="4956"/>
          <w:tab w:val="left" w:pos="5664"/>
          <w:tab w:val="left" w:pos="6372"/>
          <w:tab w:val="left" w:pos="7080"/>
          <w:tab w:val="left" w:pos="7788"/>
          <w:tab w:val="left" w:pos="8496"/>
          <w:tab w:val="right" w:pos="8504"/>
          <w:tab w:val="left" w:pos="8520"/>
        </w:tabs>
        <w:jc w:val="both"/>
      </w:pPr>
      <w:r w:rsidRPr="015AD2CD">
        <w:rPr>
          <w:rFonts w:eastAsia="Arial" w:cs="Arial"/>
          <w:b/>
          <w:bCs/>
          <w:color w:val="000000" w:themeColor="text1"/>
          <w:szCs w:val="24"/>
        </w:rPr>
        <w:t xml:space="preserve"> </w:t>
      </w:r>
    </w:p>
    <w:p w14:paraId="3F083162" w14:textId="3C33DB5F" w:rsidR="00434E80" w:rsidRDefault="0DED14D5" w:rsidP="002A4F6E">
      <w:pPr>
        <w:pStyle w:val="Prrafodelista"/>
        <w:numPr>
          <w:ilvl w:val="2"/>
          <w:numId w:val="1"/>
        </w:numPr>
        <w:spacing w:after="0" w:line="257" w:lineRule="auto"/>
        <w:ind w:left="1701" w:hanging="839"/>
        <w:jc w:val="both"/>
        <w:rPr>
          <w:rFonts w:ascii="Arial" w:eastAsia="Arial" w:hAnsi="Arial" w:cs="Arial"/>
          <w:b/>
          <w:bCs/>
          <w:color w:val="000000" w:themeColor="text1"/>
          <w:sz w:val="24"/>
          <w:szCs w:val="24"/>
        </w:rPr>
      </w:pPr>
      <w:r w:rsidRPr="015AD2CD">
        <w:rPr>
          <w:rFonts w:ascii="Arial" w:eastAsia="Arial" w:hAnsi="Arial" w:cs="Arial"/>
          <w:b/>
          <w:bCs/>
          <w:color w:val="000000" w:themeColor="text1"/>
          <w:sz w:val="24"/>
          <w:szCs w:val="24"/>
        </w:rPr>
        <w:t>Execução orçamentária mensal e acumulada</w:t>
      </w:r>
    </w:p>
    <w:p w14:paraId="1FFB35E3" w14:textId="100469D8" w:rsidR="00434E80" w:rsidRDefault="0DED14D5" w:rsidP="015AD2CD">
      <w:pPr>
        <w:tabs>
          <w:tab w:val="left" w:pos="426"/>
          <w:tab w:val="left" w:pos="708"/>
          <w:tab w:val="left" w:pos="1416"/>
          <w:tab w:val="left" w:pos="1701"/>
          <w:tab w:val="left" w:pos="2832"/>
          <w:tab w:val="left" w:pos="3540"/>
          <w:tab w:val="left" w:pos="4248"/>
          <w:tab w:val="center" w:pos="4252"/>
          <w:tab w:val="left" w:pos="4956"/>
          <w:tab w:val="left" w:pos="5664"/>
          <w:tab w:val="left" w:pos="6372"/>
          <w:tab w:val="left" w:pos="7080"/>
          <w:tab w:val="left" w:pos="7788"/>
          <w:tab w:val="left" w:pos="8496"/>
          <w:tab w:val="right" w:pos="8504"/>
          <w:tab w:val="left" w:pos="8520"/>
        </w:tabs>
        <w:spacing w:line="257" w:lineRule="auto"/>
        <w:ind w:left="1366"/>
        <w:jc w:val="both"/>
      </w:pPr>
      <w:r w:rsidRPr="015AD2CD">
        <w:rPr>
          <w:rFonts w:eastAsia="Arial" w:cs="Arial"/>
          <w:b/>
          <w:bCs/>
          <w:color w:val="000000" w:themeColor="text1"/>
          <w:szCs w:val="24"/>
        </w:rPr>
        <w:t xml:space="preserve"> </w:t>
      </w:r>
    </w:p>
    <w:p w14:paraId="3AD56A49" w14:textId="2BDA0D8F" w:rsidR="00434E80" w:rsidRDefault="0DED14D5" w:rsidP="015AD2CD">
      <w:pPr>
        <w:tabs>
          <w:tab w:val="left" w:pos="426"/>
          <w:tab w:val="left" w:pos="1701"/>
          <w:tab w:val="center" w:pos="4252"/>
          <w:tab w:val="right" w:pos="8504"/>
          <w:tab w:val="left" w:pos="8520"/>
        </w:tabs>
        <w:spacing w:line="257" w:lineRule="auto"/>
        <w:jc w:val="both"/>
      </w:pPr>
      <w:r w:rsidRPr="015AD2CD">
        <w:rPr>
          <w:rFonts w:eastAsia="Arial" w:cs="Arial"/>
          <w:szCs w:val="24"/>
        </w:rPr>
        <w:t>O GAO recebeu a planilha de execução orçamentária mensal e acumulada do IPPDH até 30 de junho de 2025 (nota IPPDH/Nota-S-112/25 de 25 de agosto de 2025), referente ao orçamento de US$ 365.799</w:t>
      </w:r>
      <w:r w:rsidRPr="015AD2CD">
        <w:rPr>
          <w:rFonts w:eastAsia="Arial" w:cs="Arial"/>
          <w:color w:val="EE0000"/>
          <w:szCs w:val="24"/>
        </w:rPr>
        <w:t xml:space="preserve"> </w:t>
      </w:r>
      <w:r w:rsidRPr="015AD2CD">
        <w:rPr>
          <w:rFonts w:eastAsia="Arial" w:cs="Arial"/>
          <w:szCs w:val="24"/>
        </w:rPr>
        <w:t xml:space="preserve">aprovado para o exercício 2025 </w:t>
      </w:r>
      <w:r w:rsidRPr="015AD2CD">
        <w:rPr>
          <w:rFonts w:eastAsia="Arial" w:cs="Arial"/>
          <w:b/>
          <w:bCs/>
          <w:szCs w:val="24"/>
        </w:rPr>
        <w:t>(Anexo XXII)</w:t>
      </w:r>
      <w:r w:rsidRPr="015AD2CD">
        <w:rPr>
          <w:rFonts w:eastAsia="Arial" w:cs="Arial"/>
          <w:szCs w:val="24"/>
        </w:rPr>
        <w:t>.</w:t>
      </w:r>
    </w:p>
    <w:p w14:paraId="3162E5CE" w14:textId="0C1D91C8" w:rsidR="00434E80" w:rsidRDefault="0DED14D5" w:rsidP="015AD2CD">
      <w:pPr>
        <w:tabs>
          <w:tab w:val="left" w:pos="426"/>
          <w:tab w:val="left" w:pos="1701"/>
          <w:tab w:val="center" w:pos="4252"/>
          <w:tab w:val="right" w:pos="8504"/>
          <w:tab w:val="left" w:pos="8520"/>
        </w:tabs>
        <w:spacing w:line="257" w:lineRule="auto"/>
        <w:jc w:val="both"/>
      </w:pPr>
      <w:r w:rsidRPr="015AD2CD">
        <w:rPr>
          <w:rFonts w:eastAsia="Arial" w:cs="Arial"/>
          <w:szCs w:val="24"/>
        </w:rPr>
        <w:t xml:space="preserve"> </w:t>
      </w:r>
    </w:p>
    <w:p w14:paraId="2B462ECB" w14:textId="2A8CFA1F" w:rsidR="00434E80" w:rsidRDefault="0DED14D5" w:rsidP="015AD2CD">
      <w:pPr>
        <w:tabs>
          <w:tab w:val="left" w:pos="426"/>
          <w:tab w:val="left" w:pos="1701"/>
          <w:tab w:val="center" w:pos="4252"/>
          <w:tab w:val="right" w:pos="8504"/>
          <w:tab w:val="left" w:pos="8520"/>
        </w:tabs>
        <w:spacing w:line="257" w:lineRule="auto"/>
        <w:jc w:val="both"/>
      </w:pPr>
      <w:r w:rsidRPr="015AD2CD">
        <w:rPr>
          <w:rFonts w:eastAsia="Arial" w:cs="Arial"/>
          <w:szCs w:val="24"/>
        </w:rPr>
        <w:t>A execução orçamentária ao 30 de junho de 2025 correspondeu a US$ 157.311 e representa 43% do total aprovado para o exercício de 2025.</w:t>
      </w:r>
    </w:p>
    <w:p w14:paraId="1D6CECC4" w14:textId="3A6CC898" w:rsidR="00434E80" w:rsidRDefault="0DED14D5" w:rsidP="015AD2CD">
      <w:pPr>
        <w:tabs>
          <w:tab w:val="left" w:pos="426"/>
          <w:tab w:val="left" w:pos="1701"/>
          <w:tab w:val="center" w:pos="4252"/>
          <w:tab w:val="right" w:pos="8504"/>
          <w:tab w:val="left" w:pos="8520"/>
        </w:tabs>
        <w:spacing w:line="257" w:lineRule="auto"/>
        <w:jc w:val="both"/>
      </w:pPr>
      <w:r w:rsidRPr="015AD2CD">
        <w:rPr>
          <w:rFonts w:eastAsia="Arial" w:cs="Arial"/>
          <w:color w:val="EE0000"/>
          <w:szCs w:val="24"/>
        </w:rPr>
        <w:t xml:space="preserve"> </w:t>
      </w:r>
    </w:p>
    <w:p w14:paraId="75FB35FC" w14:textId="4FED729E" w:rsidR="00434E80" w:rsidRDefault="0DED14D5" w:rsidP="015AD2CD">
      <w:pPr>
        <w:pStyle w:val="Prrafodelista"/>
        <w:numPr>
          <w:ilvl w:val="2"/>
          <w:numId w:val="1"/>
        </w:numPr>
        <w:spacing w:after="0" w:line="257" w:lineRule="auto"/>
        <w:ind w:left="1701" w:hanging="839"/>
        <w:jc w:val="both"/>
        <w:rPr>
          <w:rFonts w:ascii="Arial" w:eastAsia="Arial" w:hAnsi="Arial" w:cs="Arial"/>
          <w:b/>
          <w:bCs/>
          <w:color w:val="000000" w:themeColor="text1"/>
          <w:sz w:val="24"/>
          <w:szCs w:val="24"/>
        </w:rPr>
      </w:pPr>
      <w:r w:rsidRPr="015AD2CD">
        <w:rPr>
          <w:rFonts w:ascii="Arial" w:eastAsia="Arial" w:hAnsi="Arial" w:cs="Arial"/>
          <w:b/>
          <w:bCs/>
          <w:color w:val="000000" w:themeColor="text1"/>
          <w:sz w:val="24"/>
          <w:szCs w:val="24"/>
        </w:rPr>
        <w:t>Execução orçamentária mensal e acumulada do uso de excedentes</w:t>
      </w:r>
    </w:p>
    <w:p w14:paraId="754F9F97" w14:textId="5FD10EF5" w:rsidR="00434E80" w:rsidRDefault="0DED14D5" w:rsidP="015AD2CD">
      <w:pPr>
        <w:tabs>
          <w:tab w:val="left" w:pos="426"/>
          <w:tab w:val="left" w:pos="708"/>
          <w:tab w:val="left" w:pos="1701"/>
          <w:tab w:val="left" w:pos="2832"/>
          <w:tab w:val="left" w:pos="3540"/>
          <w:tab w:val="left" w:pos="4248"/>
          <w:tab w:val="center" w:pos="4252"/>
          <w:tab w:val="left" w:pos="4956"/>
          <w:tab w:val="left" w:pos="5664"/>
          <w:tab w:val="left" w:pos="6372"/>
          <w:tab w:val="left" w:pos="7080"/>
          <w:tab w:val="left" w:pos="7788"/>
          <w:tab w:val="left" w:pos="8496"/>
          <w:tab w:val="right" w:pos="8504"/>
          <w:tab w:val="left" w:pos="8520"/>
        </w:tabs>
        <w:jc w:val="both"/>
      </w:pPr>
      <w:r w:rsidRPr="015AD2CD">
        <w:rPr>
          <w:rFonts w:eastAsia="Arial" w:cs="Arial"/>
          <w:b/>
          <w:bCs/>
          <w:color w:val="000000" w:themeColor="text1"/>
          <w:szCs w:val="24"/>
        </w:rPr>
        <w:t xml:space="preserve"> </w:t>
      </w:r>
    </w:p>
    <w:p w14:paraId="6AC6C277" w14:textId="7D93A7EA" w:rsidR="00434E80" w:rsidRDefault="0DED14D5" w:rsidP="015AD2CD">
      <w:pPr>
        <w:tabs>
          <w:tab w:val="left" w:pos="426"/>
          <w:tab w:val="left" w:pos="1701"/>
          <w:tab w:val="center" w:pos="4252"/>
          <w:tab w:val="left" w:pos="8520"/>
        </w:tabs>
        <w:jc w:val="both"/>
      </w:pPr>
      <w:r w:rsidRPr="015AD2CD">
        <w:rPr>
          <w:rFonts w:eastAsia="Arial" w:cs="Arial"/>
          <w:szCs w:val="24"/>
        </w:rPr>
        <w:t>O GAO recordou ao IPPDH o previsto no terceiro parágrafo do Capítulo III do Título IV do anexo da Res. GMC Nº 60/18 relativo ao quadro II, cujo modelo consta no Apêndice II da referida Resolução.</w:t>
      </w:r>
    </w:p>
    <w:p w14:paraId="5F9A583C" w14:textId="216D11EA" w:rsidR="00434E80" w:rsidRDefault="0DED14D5" w:rsidP="015AD2CD">
      <w:pPr>
        <w:tabs>
          <w:tab w:val="left" w:pos="426"/>
          <w:tab w:val="left" w:pos="708"/>
          <w:tab w:val="left" w:pos="1701"/>
          <w:tab w:val="left" w:pos="2832"/>
          <w:tab w:val="left" w:pos="3540"/>
          <w:tab w:val="left" w:pos="4248"/>
          <w:tab w:val="center" w:pos="4252"/>
          <w:tab w:val="left" w:pos="4956"/>
          <w:tab w:val="left" w:pos="5664"/>
          <w:tab w:val="left" w:pos="6372"/>
          <w:tab w:val="left" w:pos="7080"/>
          <w:tab w:val="left" w:pos="7788"/>
          <w:tab w:val="left" w:pos="8496"/>
          <w:tab w:val="right" w:pos="8504"/>
          <w:tab w:val="left" w:pos="8520"/>
        </w:tabs>
        <w:jc w:val="both"/>
      </w:pPr>
      <w:r w:rsidRPr="015AD2CD">
        <w:rPr>
          <w:rFonts w:eastAsia="Arial" w:cs="Arial"/>
          <w:b/>
          <w:bCs/>
          <w:color w:val="000000" w:themeColor="text1"/>
          <w:szCs w:val="24"/>
        </w:rPr>
        <w:t xml:space="preserve"> </w:t>
      </w:r>
    </w:p>
    <w:p w14:paraId="248737C9" w14:textId="3D3D38E7" w:rsidR="00434E80" w:rsidRDefault="0DED14D5" w:rsidP="002A4F6E">
      <w:pPr>
        <w:pStyle w:val="Prrafodelista"/>
        <w:numPr>
          <w:ilvl w:val="2"/>
          <w:numId w:val="1"/>
        </w:numPr>
        <w:spacing w:after="0" w:line="257" w:lineRule="auto"/>
        <w:ind w:left="1701" w:hanging="839"/>
        <w:jc w:val="both"/>
        <w:rPr>
          <w:rFonts w:ascii="Arial" w:eastAsia="Arial" w:hAnsi="Arial" w:cs="Arial"/>
          <w:b/>
          <w:bCs/>
          <w:color w:val="000000" w:themeColor="text1"/>
          <w:sz w:val="24"/>
          <w:szCs w:val="24"/>
        </w:rPr>
      </w:pPr>
      <w:r w:rsidRPr="015AD2CD">
        <w:rPr>
          <w:rFonts w:ascii="Arial" w:eastAsia="Arial" w:hAnsi="Arial" w:cs="Arial"/>
          <w:b/>
          <w:bCs/>
          <w:color w:val="000000" w:themeColor="text1"/>
          <w:sz w:val="24"/>
          <w:szCs w:val="24"/>
        </w:rPr>
        <w:t>Estado de situação dos aportes dos Estados Partes</w:t>
      </w:r>
    </w:p>
    <w:p w14:paraId="671DF90A" w14:textId="69BF6561" w:rsidR="00434E80" w:rsidRDefault="0DED14D5" w:rsidP="015AD2CD">
      <w:pPr>
        <w:tabs>
          <w:tab w:val="left" w:pos="426"/>
          <w:tab w:val="left" w:pos="708"/>
          <w:tab w:val="left" w:pos="1416"/>
          <w:tab w:val="left" w:pos="1701"/>
          <w:tab w:val="left" w:pos="2124"/>
          <w:tab w:val="left" w:pos="2832"/>
          <w:tab w:val="left" w:pos="3540"/>
          <w:tab w:val="left" w:pos="4248"/>
          <w:tab w:val="center" w:pos="4252"/>
          <w:tab w:val="left" w:pos="4956"/>
          <w:tab w:val="left" w:pos="5664"/>
          <w:tab w:val="left" w:pos="6372"/>
          <w:tab w:val="left" w:pos="7080"/>
          <w:tab w:val="left" w:pos="7788"/>
          <w:tab w:val="left" w:pos="8496"/>
          <w:tab w:val="right" w:pos="8504"/>
          <w:tab w:val="left" w:pos="8520"/>
        </w:tabs>
        <w:jc w:val="both"/>
      </w:pPr>
      <w:r w:rsidRPr="015AD2CD">
        <w:rPr>
          <w:rFonts w:eastAsia="Arial" w:cs="Arial"/>
          <w:b/>
          <w:bCs/>
          <w:color w:val="000000" w:themeColor="text1"/>
          <w:szCs w:val="24"/>
        </w:rPr>
        <w:t xml:space="preserve"> </w:t>
      </w:r>
    </w:p>
    <w:p w14:paraId="2C09FB0E" w14:textId="32AE9C20" w:rsidR="00434E80" w:rsidRDefault="0DED14D5" w:rsidP="015AD2CD">
      <w:pPr>
        <w:tabs>
          <w:tab w:val="left" w:pos="708"/>
          <w:tab w:val="left" w:pos="1416"/>
          <w:tab w:val="left" w:pos="2124"/>
          <w:tab w:val="left" w:pos="2832"/>
          <w:tab w:val="left" w:pos="3540"/>
          <w:tab w:val="left" w:pos="4956"/>
          <w:tab w:val="left" w:pos="5664"/>
          <w:tab w:val="left" w:pos="6372"/>
          <w:tab w:val="left" w:pos="7080"/>
          <w:tab w:val="left" w:pos="7788"/>
          <w:tab w:val="left" w:pos="8520"/>
        </w:tabs>
        <w:jc w:val="both"/>
      </w:pPr>
      <w:r w:rsidRPr="015AD2CD">
        <w:rPr>
          <w:rFonts w:eastAsia="Arial" w:cs="Arial"/>
          <w:szCs w:val="24"/>
        </w:rPr>
        <w:t xml:space="preserve">O GAO tomou nota das contribuições dos Estados Partes ao IPPDH até 30 de junho de 2025, conforme o informado pela nota IPPDH/Nota-S-112/25 </w:t>
      </w:r>
      <w:r w:rsidRPr="015AD2CD">
        <w:rPr>
          <w:rFonts w:eastAsia="Arial" w:cs="Arial"/>
          <w:b/>
          <w:bCs/>
          <w:szCs w:val="24"/>
        </w:rPr>
        <w:t>(Anexo XXIII)</w:t>
      </w:r>
      <w:r w:rsidRPr="015AD2CD">
        <w:rPr>
          <w:rFonts w:eastAsia="Arial" w:cs="Arial"/>
          <w:szCs w:val="24"/>
        </w:rPr>
        <w:t>.</w:t>
      </w:r>
    </w:p>
    <w:p w14:paraId="02CEF24C" w14:textId="1AC314B0" w:rsidR="00434E80" w:rsidRDefault="0DED14D5" w:rsidP="015AD2CD">
      <w:pPr>
        <w:tabs>
          <w:tab w:val="left" w:pos="426"/>
          <w:tab w:val="left" w:pos="708"/>
          <w:tab w:val="left" w:pos="1416"/>
          <w:tab w:val="left" w:pos="1701"/>
          <w:tab w:val="left" w:pos="2124"/>
          <w:tab w:val="left" w:pos="2832"/>
          <w:tab w:val="left" w:pos="3540"/>
          <w:tab w:val="left" w:pos="4248"/>
          <w:tab w:val="center" w:pos="4252"/>
          <w:tab w:val="left" w:pos="4956"/>
          <w:tab w:val="left" w:pos="5664"/>
          <w:tab w:val="left" w:pos="6372"/>
          <w:tab w:val="left" w:pos="7080"/>
          <w:tab w:val="left" w:pos="7788"/>
          <w:tab w:val="left" w:pos="8496"/>
          <w:tab w:val="right" w:pos="8504"/>
          <w:tab w:val="left" w:pos="8520"/>
        </w:tabs>
        <w:jc w:val="both"/>
      </w:pPr>
      <w:r w:rsidRPr="015AD2CD">
        <w:rPr>
          <w:rFonts w:eastAsia="Arial" w:cs="Arial"/>
          <w:b/>
          <w:bCs/>
          <w:color w:val="000000" w:themeColor="text1"/>
          <w:szCs w:val="24"/>
        </w:rPr>
        <w:t xml:space="preserve"> </w:t>
      </w:r>
    </w:p>
    <w:p w14:paraId="1BF1755B" w14:textId="0A8A35E7" w:rsidR="00434E80" w:rsidRDefault="0DED14D5" w:rsidP="002A4F6E">
      <w:pPr>
        <w:pStyle w:val="Prrafodelista"/>
        <w:numPr>
          <w:ilvl w:val="2"/>
          <w:numId w:val="1"/>
        </w:numPr>
        <w:spacing w:after="0" w:line="257" w:lineRule="auto"/>
        <w:ind w:left="1701" w:hanging="839"/>
        <w:jc w:val="both"/>
        <w:rPr>
          <w:rFonts w:ascii="Arial" w:eastAsia="Arial" w:hAnsi="Arial" w:cs="Arial"/>
          <w:b/>
          <w:bCs/>
          <w:color w:val="000000" w:themeColor="text1"/>
          <w:sz w:val="24"/>
          <w:szCs w:val="24"/>
        </w:rPr>
      </w:pPr>
      <w:r w:rsidRPr="015AD2CD">
        <w:rPr>
          <w:rFonts w:ascii="Arial" w:eastAsia="Arial" w:hAnsi="Arial" w:cs="Arial"/>
          <w:b/>
          <w:bCs/>
          <w:color w:val="000000" w:themeColor="text1"/>
          <w:sz w:val="24"/>
          <w:szCs w:val="24"/>
        </w:rPr>
        <w:t>Excedentes acumulados contábeis, líquidos e disponíveis</w:t>
      </w:r>
    </w:p>
    <w:p w14:paraId="2408FE83" w14:textId="42CF24E3" w:rsidR="00434E80" w:rsidRDefault="0DED14D5" w:rsidP="015AD2CD">
      <w:pPr>
        <w:tabs>
          <w:tab w:val="left" w:pos="426"/>
          <w:tab w:val="left" w:pos="708"/>
          <w:tab w:val="left" w:pos="1416"/>
          <w:tab w:val="left" w:pos="1701"/>
          <w:tab w:val="left" w:pos="2124"/>
          <w:tab w:val="left" w:pos="2832"/>
          <w:tab w:val="left" w:pos="3540"/>
          <w:tab w:val="left" w:pos="4248"/>
          <w:tab w:val="center" w:pos="4252"/>
          <w:tab w:val="left" w:pos="4956"/>
          <w:tab w:val="left" w:pos="5664"/>
          <w:tab w:val="left" w:pos="6372"/>
          <w:tab w:val="left" w:pos="7080"/>
          <w:tab w:val="left" w:pos="7788"/>
          <w:tab w:val="left" w:pos="8496"/>
          <w:tab w:val="right" w:pos="8504"/>
          <w:tab w:val="left" w:pos="8520"/>
        </w:tabs>
        <w:jc w:val="both"/>
      </w:pPr>
      <w:r w:rsidRPr="015AD2CD">
        <w:rPr>
          <w:rFonts w:eastAsia="Arial" w:cs="Arial"/>
          <w:b/>
          <w:bCs/>
          <w:color w:val="000000" w:themeColor="text1"/>
          <w:szCs w:val="24"/>
        </w:rPr>
        <w:t xml:space="preserve"> </w:t>
      </w:r>
    </w:p>
    <w:p w14:paraId="7C877D45" w14:textId="493AFE9B" w:rsidR="00434E80" w:rsidRDefault="0DED14D5" w:rsidP="015AD2CD">
      <w:pPr>
        <w:jc w:val="both"/>
      </w:pPr>
      <w:r w:rsidRPr="015AD2CD">
        <w:rPr>
          <w:rFonts w:eastAsia="Arial" w:cs="Arial"/>
          <w:color w:val="000000" w:themeColor="text1"/>
          <w:szCs w:val="24"/>
        </w:rPr>
        <w:t>O GAO tomou nota dos quadros sobre o estado dos recursos excedentes anuais do IPPDH e sua utilização até 30 de junho de 2025 (</w:t>
      </w:r>
      <w:r w:rsidRPr="015AD2CD">
        <w:rPr>
          <w:rFonts w:eastAsia="Arial" w:cs="Arial"/>
          <w:szCs w:val="24"/>
        </w:rPr>
        <w:t>nota IPPDH/Nota-S-112/25</w:t>
      </w:r>
      <w:r w:rsidRPr="015AD2CD">
        <w:rPr>
          <w:rFonts w:eastAsia="Arial" w:cs="Arial"/>
          <w:color w:val="000000" w:themeColor="text1"/>
          <w:szCs w:val="24"/>
        </w:rPr>
        <w:t xml:space="preserve">) </w:t>
      </w:r>
      <w:r w:rsidRPr="015AD2CD">
        <w:rPr>
          <w:rFonts w:eastAsia="Arial" w:cs="Arial"/>
          <w:b/>
          <w:bCs/>
          <w:color w:val="000000" w:themeColor="text1"/>
          <w:szCs w:val="24"/>
        </w:rPr>
        <w:t>(Anexo XXIV).</w:t>
      </w:r>
    </w:p>
    <w:p w14:paraId="151B3B5B" w14:textId="789F2FC8" w:rsidR="00434E80" w:rsidRDefault="0DED14D5" w:rsidP="015AD2CD">
      <w:pPr>
        <w:tabs>
          <w:tab w:val="left" w:pos="426"/>
          <w:tab w:val="left" w:pos="708"/>
          <w:tab w:val="left" w:pos="1416"/>
          <w:tab w:val="left" w:pos="1701"/>
          <w:tab w:val="left" w:pos="2124"/>
          <w:tab w:val="left" w:pos="2832"/>
          <w:tab w:val="left" w:pos="3540"/>
          <w:tab w:val="left" w:pos="4248"/>
          <w:tab w:val="center" w:pos="4252"/>
          <w:tab w:val="left" w:pos="4956"/>
          <w:tab w:val="left" w:pos="5664"/>
          <w:tab w:val="left" w:pos="6372"/>
          <w:tab w:val="left" w:pos="7080"/>
          <w:tab w:val="left" w:pos="7788"/>
          <w:tab w:val="left" w:pos="8496"/>
          <w:tab w:val="right" w:pos="8504"/>
          <w:tab w:val="left" w:pos="8520"/>
        </w:tabs>
        <w:jc w:val="both"/>
      </w:pPr>
      <w:r w:rsidRPr="015AD2CD">
        <w:rPr>
          <w:rFonts w:eastAsia="Arial" w:cs="Arial"/>
          <w:b/>
          <w:bCs/>
          <w:color w:val="000000" w:themeColor="text1"/>
          <w:szCs w:val="24"/>
        </w:rPr>
        <w:t xml:space="preserve"> </w:t>
      </w:r>
    </w:p>
    <w:p w14:paraId="71DB9424" w14:textId="37F8226D" w:rsidR="00434E80" w:rsidRDefault="0DED14D5" w:rsidP="015AD2CD">
      <w:pPr>
        <w:pStyle w:val="Prrafodelista"/>
        <w:numPr>
          <w:ilvl w:val="2"/>
          <w:numId w:val="1"/>
        </w:numPr>
        <w:spacing w:after="0" w:line="257" w:lineRule="auto"/>
        <w:ind w:left="1701" w:hanging="839"/>
        <w:jc w:val="both"/>
        <w:rPr>
          <w:rFonts w:ascii="Arial" w:eastAsia="Arial" w:hAnsi="Arial" w:cs="Arial"/>
          <w:b/>
          <w:bCs/>
          <w:color w:val="000000" w:themeColor="text1"/>
          <w:sz w:val="24"/>
          <w:szCs w:val="24"/>
        </w:rPr>
      </w:pPr>
      <w:r w:rsidRPr="015AD2CD">
        <w:rPr>
          <w:rFonts w:ascii="Arial" w:eastAsia="Arial" w:hAnsi="Arial" w:cs="Arial"/>
          <w:b/>
          <w:bCs/>
          <w:color w:val="000000" w:themeColor="text1"/>
          <w:sz w:val="24"/>
          <w:szCs w:val="24"/>
        </w:rPr>
        <w:t>Conciliação de excedentes líquidos com as contas bancárias</w:t>
      </w:r>
    </w:p>
    <w:p w14:paraId="3F111075" w14:textId="10D5C23A" w:rsidR="00434E80" w:rsidRDefault="0DED14D5" w:rsidP="015AD2CD">
      <w:pPr>
        <w:jc w:val="both"/>
      </w:pPr>
      <w:r w:rsidRPr="015AD2CD">
        <w:rPr>
          <w:rFonts w:eastAsia="Arial" w:cs="Arial"/>
          <w:b/>
          <w:bCs/>
          <w:szCs w:val="24"/>
        </w:rPr>
        <w:t xml:space="preserve"> </w:t>
      </w:r>
    </w:p>
    <w:p w14:paraId="5AE50350" w14:textId="186AD8F4" w:rsidR="00434E80" w:rsidRDefault="0DED14D5" w:rsidP="015AD2CD">
      <w:pPr>
        <w:jc w:val="both"/>
      </w:pPr>
      <w:r w:rsidRPr="015AD2CD">
        <w:rPr>
          <w:rFonts w:eastAsia="Arial" w:cs="Arial"/>
          <w:szCs w:val="24"/>
        </w:rPr>
        <w:t xml:space="preserve">O GAO tomou nota dos quadros do total de excedentes disponíveis nas contas bancárias do IPPDH em 30 de junho de 2025 (nota IPPDH/Nota-S-112/25) </w:t>
      </w:r>
      <w:r w:rsidRPr="015AD2CD">
        <w:rPr>
          <w:rFonts w:eastAsia="Arial" w:cs="Arial"/>
          <w:b/>
          <w:bCs/>
          <w:szCs w:val="24"/>
        </w:rPr>
        <w:t>(Anexo XXV)</w:t>
      </w:r>
      <w:r w:rsidRPr="015AD2CD">
        <w:rPr>
          <w:rFonts w:eastAsia="Arial" w:cs="Arial"/>
          <w:szCs w:val="24"/>
        </w:rPr>
        <w:t>.</w:t>
      </w:r>
    </w:p>
    <w:p w14:paraId="120BAAA9" w14:textId="69E10AD2" w:rsidR="00434E80" w:rsidRDefault="0DED14D5" w:rsidP="015AD2CD">
      <w:pPr>
        <w:jc w:val="both"/>
      </w:pPr>
      <w:r w:rsidRPr="015AD2CD">
        <w:rPr>
          <w:rFonts w:eastAsia="Arial" w:cs="Arial"/>
          <w:szCs w:val="24"/>
        </w:rPr>
        <w:t xml:space="preserve"> </w:t>
      </w:r>
    </w:p>
    <w:p w14:paraId="72107336" w14:textId="378A6E1A" w:rsidR="00434E80" w:rsidRDefault="0DED14D5" w:rsidP="015AD2CD">
      <w:pPr>
        <w:jc w:val="both"/>
      </w:pPr>
      <w:r w:rsidRPr="015AD2CD">
        <w:rPr>
          <w:rFonts w:eastAsia="Arial" w:cs="Arial"/>
          <w:szCs w:val="24"/>
        </w:rPr>
        <w:t>Tais excedentes totalizam, em 30 de junho de 2025, US$ 429.453.</w:t>
      </w:r>
    </w:p>
    <w:p w14:paraId="3A8864F2" w14:textId="4D00AEBC" w:rsidR="00434E80" w:rsidRDefault="0DED14D5" w:rsidP="004D0638">
      <w:pPr>
        <w:jc w:val="both"/>
      </w:pPr>
      <w:r w:rsidRPr="015AD2CD">
        <w:rPr>
          <w:rFonts w:eastAsia="Arial" w:cs="Arial"/>
          <w:b/>
          <w:bCs/>
          <w:szCs w:val="24"/>
        </w:rPr>
        <w:t xml:space="preserve"> </w:t>
      </w:r>
    </w:p>
    <w:p w14:paraId="67C826B3" w14:textId="48FD540B" w:rsidR="00434E80" w:rsidRDefault="00434E80" w:rsidP="004D0638">
      <w:pPr>
        <w:jc w:val="both"/>
      </w:pPr>
    </w:p>
    <w:p w14:paraId="09BA2192" w14:textId="6EEFF34D" w:rsidR="00434E80" w:rsidRDefault="0DED14D5" w:rsidP="015AD2CD">
      <w:pPr>
        <w:pStyle w:val="Prrafodelista"/>
        <w:numPr>
          <w:ilvl w:val="0"/>
          <w:numId w:val="1"/>
        </w:numPr>
        <w:spacing w:after="0"/>
        <w:ind w:left="567" w:hanging="567"/>
        <w:jc w:val="both"/>
        <w:rPr>
          <w:rFonts w:ascii="Arial" w:eastAsia="Arial" w:hAnsi="Arial" w:cs="Arial"/>
          <w:b/>
          <w:bCs/>
          <w:color w:val="000000" w:themeColor="text1"/>
          <w:sz w:val="24"/>
          <w:szCs w:val="24"/>
        </w:rPr>
      </w:pPr>
      <w:r w:rsidRPr="015AD2CD">
        <w:rPr>
          <w:rFonts w:ascii="Arial" w:eastAsia="Arial" w:hAnsi="Arial" w:cs="Arial"/>
          <w:b/>
          <w:bCs/>
          <w:color w:val="000000" w:themeColor="text1"/>
          <w:sz w:val="24"/>
          <w:szCs w:val="24"/>
        </w:rPr>
        <w:t xml:space="preserve">MECANISMO DE REAJUSTE SALARIAL </w:t>
      </w:r>
    </w:p>
    <w:p w14:paraId="4545654A" w14:textId="3194DC89" w:rsidR="00434E80" w:rsidRDefault="0DED14D5" w:rsidP="015AD2CD">
      <w:pPr>
        <w:tabs>
          <w:tab w:val="left" w:pos="426"/>
          <w:tab w:val="left" w:pos="708"/>
          <w:tab w:val="left" w:pos="1416"/>
          <w:tab w:val="left" w:pos="2124"/>
          <w:tab w:val="left" w:pos="2832"/>
          <w:tab w:val="left" w:pos="3540"/>
          <w:tab w:val="left" w:pos="4248"/>
          <w:tab w:val="center" w:pos="4252"/>
          <w:tab w:val="left" w:pos="4956"/>
          <w:tab w:val="left" w:pos="5664"/>
          <w:tab w:val="left" w:pos="6372"/>
          <w:tab w:val="left" w:pos="7080"/>
          <w:tab w:val="left" w:pos="7788"/>
          <w:tab w:val="left" w:pos="8496"/>
          <w:tab w:val="right" w:pos="8504"/>
          <w:tab w:val="left" w:pos="8520"/>
        </w:tabs>
        <w:ind w:left="567"/>
        <w:jc w:val="both"/>
        <w:rPr>
          <w:rFonts w:eastAsia="Arial" w:cs="Arial"/>
          <w:b/>
          <w:bCs/>
          <w:color w:val="000000" w:themeColor="text1"/>
          <w:szCs w:val="24"/>
        </w:rPr>
      </w:pPr>
      <w:r w:rsidRPr="015AD2CD">
        <w:rPr>
          <w:rFonts w:eastAsia="Arial" w:cs="Arial"/>
          <w:b/>
          <w:bCs/>
          <w:color w:val="000000" w:themeColor="text1"/>
          <w:szCs w:val="24"/>
        </w:rPr>
        <w:t xml:space="preserve"> </w:t>
      </w:r>
    </w:p>
    <w:p w14:paraId="60B3A706" w14:textId="470E3A43" w:rsidR="00434E80" w:rsidRDefault="0DED14D5" w:rsidP="015AD2CD">
      <w:pPr>
        <w:pStyle w:val="Prrafodelista"/>
        <w:numPr>
          <w:ilvl w:val="1"/>
          <w:numId w:val="1"/>
        </w:numPr>
        <w:spacing w:after="0"/>
        <w:ind w:left="993" w:hanging="567"/>
        <w:jc w:val="both"/>
        <w:rPr>
          <w:rFonts w:ascii="Arial" w:eastAsia="Arial" w:hAnsi="Arial" w:cs="Arial"/>
          <w:b/>
          <w:bCs/>
          <w:color w:val="000000" w:themeColor="text1"/>
          <w:sz w:val="24"/>
          <w:szCs w:val="24"/>
        </w:rPr>
      </w:pPr>
      <w:r w:rsidRPr="015AD2CD">
        <w:rPr>
          <w:rFonts w:ascii="Arial" w:eastAsia="Arial" w:hAnsi="Arial" w:cs="Arial"/>
          <w:b/>
          <w:bCs/>
          <w:color w:val="000000" w:themeColor="text1"/>
          <w:sz w:val="24"/>
          <w:szCs w:val="24"/>
        </w:rPr>
        <w:t>Cálculos de ajuste salarial</w:t>
      </w:r>
    </w:p>
    <w:p w14:paraId="4793DFFE" w14:textId="472DDE1A" w:rsidR="00434E80" w:rsidRDefault="0DED14D5" w:rsidP="015AD2CD">
      <w:pPr>
        <w:tabs>
          <w:tab w:val="center" w:pos="4252"/>
          <w:tab w:val="right" w:pos="8478"/>
          <w:tab w:val="left" w:pos="8496"/>
          <w:tab w:val="left" w:pos="8520"/>
        </w:tabs>
        <w:jc w:val="both"/>
        <w:rPr>
          <w:rFonts w:eastAsia="Arial" w:cs="Arial"/>
          <w:b/>
          <w:bCs/>
          <w:color w:val="000000" w:themeColor="text1"/>
          <w:szCs w:val="24"/>
        </w:rPr>
      </w:pPr>
      <w:r w:rsidRPr="015AD2CD">
        <w:rPr>
          <w:rFonts w:eastAsia="Arial" w:cs="Arial"/>
          <w:b/>
          <w:bCs/>
          <w:color w:val="000000" w:themeColor="text1"/>
          <w:szCs w:val="24"/>
        </w:rPr>
        <w:t xml:space="preserve"> </w:t>
      </w:r>
    </w:p>
    <w:p w14:paraId="0E706AF2" w14:textId="0B7E257F" w:rsidR="00434E80" w:rsidRDefault="0DED14D5" w:rsidP="015AD2CD">
      <w:pPr>
        <w:jc w:val="both"/>
        <w:rPr>
          <w:rFonts w:eastAsia="Arial" w:cs="Arial"/>
          <w:szCs w:val="24"/>
        </w:rPr>
      </w:pPr>
      <w:r w:rsidRPr="015AD2CD">
        <w:rPr>
          <w:rFonts w:eastAsia="Arial" w:cs="Arial"/>
          <w:szCs w:val="24"/>
        </w:rPr>
        <w:t xml:space="preserve">Em relação ao disposto na Seção III, artigos 52 e 53 do anexo do Dec. CMC nº 15/15, o GAO solicitou que os órgãos do MERCOSUL com orçamento próprio </w:t>
      </w:r>
      <w:r w:rsidRPr="015AD2CD">
        <w:rPr>
          <w:rFonts w:eastAsia="Arial" w:cs="Arial"/>
          <w:szCs w:val="24"/>
        </w:rPr>
        <w:lastRenderedPageBreak/>
        <w:t>apresentem, até o dia 17 deste mês, as informações correspondentes especificamente ao exercício financeiro de 2025.</w:t>
      </w:r>
    </w:p>
    <w:p w14:paraId="11000037" w14:textId="6F78291B" w:rsidR="00434E80" w:rsidRDefault="0DED14D5" w:rsidP="015AD2CD">
      <w:pPr>
        <w:jc w:val="both"/>
      </w:pPr>
      <w:r w:rsidRPr="015AD2CD">
        <w:rPr>
          <w:rFonts w:eastAsia="Arial" w:cs="Arial"/>
          <w:szCs w:val="24"/>
        </w:rPr>
        <w:t xml:space="preserve"> </w:t>
      </w:r>
    </w:p>
    <w:p w14:paraId="4236A1F8" w14:textId="2E006E98" w:rsidR="00434E80" w:rsidRDefault="0DED14D5" w:rsidP="015AD2CD">
      <w:pPr>
        <w:pStyle w:val="Prrafodelista"/>
        <w:numPr>
          <w:ilvl w:val="1"/>
          <w:numId w:val="1"/>
        </w:numPr>
        <w:spacing w:after="0"/>
        <w:ind w:left="993" w:hanging="567"/>
        <w:jc w:val="both"/>
        <w:rPr>
          <w:rFonts w:ascii="Arial" w:eastAsia="Arial" w:hAnsi="Arial" w:cs="Arial"/>
          <w:b/>
          <w:bCs/>
          <w:color w:val="000000" w:themeColor="text1"/>
          <w:sz w:val="24"/>
          <w:szCs w:val="24"/>
        </w:rPr>
      </w:pPr>
      <w:r w:rsidRPr="015AD2CD">
        <w:rPr>
          <w:rFonts w:ascii="Arial" w:eastAsia="Arial" w:hAnsi="Arial" w:cs="Arial"/>
          <w:b/>
          <w:bCs/>
          <w:color w:val="000000" w:themeColor="text1"/>
          <w:sz w:val="24"/>
          <w:szCs w:val="24"/>
        </w:rPr>
        <w:t>Artigo 54 do anexo da Dec. CMC Nº 15/15</w:t>
      </w:r>
    </w:p>
    <w:p w14:paraId="21192E18" w14:textId="3F667DE3" w:rsidR="00434E80" w:rsidRDefault="0DED14D5" w:rsidP="015AD2CD">
      <w:pPr>
        <w:tabs>
          <w:tab w:val="left" w:pos="426"/>
          <w:tab w:val="left" w:pos="1276"/>
        </w:tabs>
        <w:jc w:val="both"/>
      </w:pPr>
      <w:r w:rsidRPr="015AD2CD">
        <w:rPr>
          <w:rFonts w:eastAsia="Arial" w:cs="Arial"/>
          <w:b/>
          <w:bCs/>
          <w:color w:val="000000" w:themeColor="text1"/>
          <w:sz w:val="22"/>
          <w:szCs w:val="22"/>
        </w:rPr>
        <w:t xml:space="preserve"> </w:t>
      </w:r>
    </w:p>
    <w:p w14:paraId="1C53F832" w14:textId="0879CF32" w:rsidR="00434E80" w:rsidRDefault="0DED14D5" w:rsidP="015AD2CD">
      <w:pPr>
        <w:jc w:val="both"/>
        <w:rPr>
          <w:rFonts w:eastAsia="Arial" w:cs="Arial"/>
          <w:szCs w:val="24"/>
        </w:rPr>
      </w:pPr>
      <w:r w:rsidRPr="015AD2CD">
        <w:rPr>
          <w:rFonts w:eastAsia="Arial" w:cs="Arial"/>
          <w:szCs w:val="24"/>
        </w:rPr>
        <w:t xml:space="preserve">O tema continua </w:t>
      </w:r>
      <w:r w:rsidR="433B3326" w:rsidRPr="015AD2CD">
        <w:rPr>
          <w:rFonts w:eastAsia="Arial" w:cs="Arial"/>
          <w:szCs w:val="24"/>
        </w:rPr>
        <w:t>na</w:t>
      </w:r>
      <w:r w:rsidRPr="015AD2CD">
        <w:rPr>
          <w:rFonts w:eastAsia="Arial" w:cs="Arial"/>
          <w:szCs w:val="24"/>
        </w:rPr>
        <w:t xml:space="preserve"> agenda.</w:t>
      </w:r>
    </w:p>
    <w:p w14:paraId="6BCCE393" w14:textId="30188466" w:rsidR="00434E80" w:rsidRDefault="0DED14D5" w:rsidP="015AD2CD">
      <w:pPr>
        <w:jc w:val="both"/>
      </w:pPr>
      <w:r w:rsidRPr="015AD2CD">
        <w:rPr>
          <w:rFonts w:eastAsia="Arial" w:cs="Arial"/>
          <w:szCs w:val="24"/>
        </w:rPr>
        <w:t xml:space="preserve"> </w:t>
      </w:r>
    </w:p>
    <w:p w14:paraId="6B8F8984" w14:textId="039678FA" w:rsidR="00434E80" w:rsidRPr="002A4F6E" w:rsidRDefault="0DED14D5" w:rsidP="015AD2CD">
      <w:pPr>
        <w:tabs>
          <w:tab w:val="center" w:pos="4252"/>
          <w:tab w:val="right" w:pos="8478"/>
          <w:tab w:val="left" w:pos="8496"/>
          <w:tab w:val="left" w:pos="8520"/>
        </w:tabs>
        <w:jc w:val="both"/>
        <w:rPr>
          <w:rFonts w:cs="Arial"/>
        </w:rPr>
      </w:pPr>
      <w:r w:rsidRPr="015AD2CD">
        <w:rPr>
          <w:rFonts w:eastAsia="Arial" w:cs="Arial"/>
          <w:b/>
          <w:bCs/>
          <w:color w:val="000000" w:themeColor="text1"/>
          <w:szCs w:val="24"/>
        </w:rPr>
        <w:t xml:space="preserve"> </w:t>
      </w:r>
    </w:p>
    <w:p w14:paraId="210FEDA6" w14:textId="59213704" w:rsidR="00434E80" w:rsidRPr="002A4F6E" w:rsidRDefault="0DED14D5" w:rsidP="015AD2CD">
      <w:pPr>
        <w:pStyle w:val="Prrafodelista"/>
        <w:numPr>
          <w:ilvl w:val="0"/>
          <w:numId w:val="1"/>
        </w:numPr>
        <w:spacing w:after="0"/>
        <w:ind w:left="502"/>
        <w:jc w:val="both"/>
        <w:rPr>
          <w:rFonts w:ascii="Arial" w:eastAsia="Arial" w:hAnsi="Arial" w:cs="Arial"/>
          <w:b/>
          <w:bCs/>
          <w:color w:val="000000" w:themeColor="text1"/>
          <w:sz w:val="24"/>
          <w:szCs w:val="24"/>
        </w:rPr>
      </w:pPr>
      <w:r w:rsidRPr="002A4F6E">
        <w:rPr>
          <w:rFonts w:ascii="Arial" w:eastAsia="Arial" w:hAnsi="Arial" w:cs="Arial"/>
          <w:b/>
          <w:bCs/>
          <w:color w:val="000000" w:themeColor="text1"/>
          <w:sz w:val="24"/>
          <w:szCs w:val="24"/>
        </w:rPr>
        <w:t>OUTROS</w:t>
      </w:r>
    </w:p>
    <w:p w14:paraId="255AF00E" w14:textId="0DF5A422" w:rsidR="00434E80" w:rsidRPr="002A4F6E" w:rsidRDefault="0DED14D5" w:rsidP="002A4F6E">
      <w:pPr>
        <w:tabs>
          <w:tab w:val="left" w:pos="567"/>
          <w:tab w:val="left" w:pos="1416"/>
          <w:tab w:val="left" w:pos="2124"/>
          <w:tab w:val="left" w:pos="2832"/>
          <w:tab w:val="left" w:pos="3540"/>
          <w:tab w:val="left" w:pos="4248"/>
          <w:tab w:val="left" w:pos="4956"/>
          <w:tab w:val="left" w:pos="5664"/>
          <w:tab w:val="left" w:pos="6372"/>
          <w:tab w:val="left" w:pos="7080"/>
          <w:tab w:val="left" w:pos="7788"/>
          <w:tab w:val="left" w:pos="8520"/>
          <w:tab w:val="left" w:pos="8520"/>
        </w:tabs>
        <w:jc w:val="both"/>
        <w:rPr>
          <w:rFonts w:cs="Arial"/>
        </w:rPr>
      </w:pPr>
      <w:r w:rsidRPr="002A4F6E">
        <w:rPr>
          <w:rFonts w:eastAsia="Arial" w:cs="Arial"/>
          <w:b/>
          <w:bCs/>
          <w:color w:val="000000" w:themeColor="text1"/>
          <w:szCs w:val="24"/>
        </w:rPr>
        <w:t xml:space="preserve"> </w:t>
      </w:r>
    </w:p>
    <w:p w14:paraId="086304E3" w14:textId="40961217" w:rsidR="00434E80" w:rsidRPr="002A4F6E" w:rsidRDefault="0DED14D5" w:rsidP="015AD2CD">
      <w:pPr>
        <w:pStyle w:val="Prrafodelista"/>
        <w:numPr>
          <w:ilvl w:val="1"/>
          <w:numId w:val="1"/>
        </w:numPr>
        <w:spacing w:after="0"/>
        <w:ind w:left="993" w:hanging="567"/>
        <w:jc w:val="both"/>
        <w:rPr>
          <w:rFonts w:ascii="Arial" w:eastAsia="Arial" w:hAnsi="Arial" w:cs="Arial"/>
          <w:b/>
          <w:bCs/>
          <w:color w:val="000000" w:themeColor="text1"/>
          <w:sz w:val="24"/>
          <w:szCs w:val="24"/>
        </w:rPr>
      </w:pPr>
      <w:r w:rsidRPr="002A4F6E">
        <w:rPr>
          <w:rFonts w:ascii="Arial" w:eastAsia="Arial" w:hAnsi="Arial" w:cs="Arial"/>
          <w:b/>
          <w:bCs/>
          <w:color w:val="000000" w:themeColor="text1"/>
          <w:sz w:val="24"/>
          <w:szCs w:val="24"/>
        </w:rPr>
        <w:t>Apresentação dos dados solicitados na Resolução GMC Nº 60/18</w:t>
      </w:r>
    </w:p>
    <w:p w14:paraId="55522D70" w14:textId="49CF4A94" w:rsidR="00434E80" w:rsidRPr="002A4F6E" w:rsidRDefault="0DED14D5" w:rsidP="015AD2CD">
      <w:pP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8520"/>
        </w:tabs>
        <w:ind w:left="720"/>
        <w:jc w:val="both"/>
        <w:rPr>
          <w:rFonts w:cs="Arial"/>
        </w:rPr>
      </w:pPr>
      <w:r w:rsidRPr="002A4F6E">
        <w:rPr>
          <w:rFonts w:eastAsia="Arial" w:cs="Arial"/>
          <w:b/>
          <w:bCs/>
          <w:color w:val="000000" w:themeColor="text1"/>
          <w:szCs w:val="24"/>
        </w:rPr>
        <w:t xml:space="preserve"> </w:t>
      </w:r>
    </w:p>
    <w:p w14:paraId="63E3B693" w14:textId="1106C072" w:rsidR="00434E80" w:rsidRPr="002A4F6E" w:rsidRDefault="30F92CDC" w:rsidP="015AD2CD">
      <w:pPr>
        <w:jc w:val="both"/>
        <w:rPr>
          <w:rFonts w:cs="Arial"/>
        </w:rPr>
      </w:pPr>
      <w:r w:rsidRPr="002A4F6E">
        <w:rPr>
          <w:rFonts w:eastAsia="Arial" w:cs="Arial"/>
          <w:szCs w:val="24"/>
        </w:rPr>
        <w:t>O GAO solicitou aos órgãos com orçamento próprio da estrutura institucional do MERCOSUL o envio dos quadros referentes à execução orçamentária e os anteprojetos de orçamento em formato editável, além da versão em PDF.</w:t>
      </w:r>
    </w:p>
    <w:p w14:paraId="3439F6A4" w14:textId="690163E3" w:rsidR="00434E80" w:rsidRPr="002A4F6E" w:rsidRDefault="00434E80" w:rsidP="002A4F6E">
      <w:pP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8520"/>
        </w:tabs>
        <w:jc w:val="both"/>
        <w:rPr>
          <w:rFonts w:cs="Arial"/>
        </w:rPr>
      </w:pPr>
    </w:p>
    <w:p w14:paraId="32444884" w14:textId="4DBBA4C6" w:rsidR="00434E80" w:rsidRPr="002A4F6E" w:rsidRDefault="0DED14D5" w:rsidP="015AD2CD">
      <w:pPr>
        <w:pStyle w:val="Prrafodelista"/>
        <w:numPr>
          <w:ilvl w:val="1"/>
          <w:numId w:val="1"/>
        </w:numPr>
        <w:spacing w:after="0"/>
        <w:ind w:left="993" w:hanging="567"/>
        <w:jc w:val="both"/>
        <w:rPr>
          <w:rFonts w:ascii="Arial" w:eastAsia="Calibri" w:hAnsi="Arial" w:cs="Arial"/>
          <w:b/>
          <w:bCs/>
          <w:color w:val="000000" w:themeColor="text1"/>
          <w:sz w:val="24"/>
          <w:szCs w:val="24"/>
        </w:rPr>
      </w:pPr>
      <w:r w:rsidRPr="002A4F6E">
        <w:rPr>
          <w:rFonts w:ascii="Arial" w:eastAsia="Calibri" w:hAnsi="Arial" w:cs="Arial"/>
          <w:b/>
          <w:bCs/>
          <w:color w:val="000000" w:themeColor="text1"/>
          <w:sz w:val="24"/>
          <w:szCs w:val="24"/>
        </w:rPr>
        <w:t>Formato de apresentação dos anteprojetos de orçamento</w:t>
      </w:r>
    </w:p>
    <w:p w14:paraId="61578239" w14:textId="121C8D1A" w:rsidR="00434E80" w:rsidRPr="002A4F6E" w:rsidRDefault="0DED14D5" w:rsidP="015AD2CD">
      <w:pP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8520"/>
        </w:tabs>
        <w:ind w:left="720"/>
        <w:jc w:val="both"/>
        <w:rPr>
          <w:rFonts w:cs="Arial"/>
        </w:rPr>
      </w:pPr>
      <w:r w:rsidRPr="002A4F6E">
        <w:rPr>
          <w:rFonts w:eastAsia="Arial" w:cs="Arial"/>
          <w:b/>
          <w:bCs/>
          <w:color w:val="000000" w:themeColor="text1"/>
          <w:sz w:val="22"/>
          <w:szCs w:val="22"/>
        </w:rPr>
        <w:t xml:space="preserve"> </w:t>
      </w:r>
    </w:p>
    <w:p w14:paraId="0635FD8E" w14:textId="15FCD406" w:rsidR="00434E80" w:rsidRPr="002A4F6E" w:rsidRDefault="0C2DA34E" w:rsidP="015AD2CD">
      <w:pPr>
        <w:tabs>
          <w:tab w:val="left" w:pos="708"/>
          <w:tab w:val="left" w:pos="1416"/>
          <w:tab w:val="left" w:pos="2124"/>
          <w:tab w:val="left" w:pos="2832"/>
          <w:tab w:val="left" w:pos="3540"/>
          <w:tab w:val="left" w:pos="4248"/>
          <w:tab w:val="center" w:pos="4252"/>
          <w:tab w:val="left" w:pos="4956"/>
          <w:tab w:val="left" w:pos="5664"/>
          <w:tab w:val="left" w:pos="6372"/>
          <w:tab w:val="left" w:pos="7080"/>
          <w:tab w:val="left" w:pos="7788"/>
          <w:tab w:val="left" w:pos="8496"/>
          <w:tab w:val="right" w:pos="8504"/>
          <w:tab w:val="left" w:pos="8520"/>
        </w:tabs>
        <w:jc w:val="both"/>
        <w:rPr>
          <w:rFonts w:eastAsia="Arial" w:cs="Arial"/>
          <w:color w:val="000000" w:themeColor="text1"/>
          <w:szCs w:val="24"/>
        </w:rPr>
      </w:pPr>
      <w:r w:rsidRPr="002A4F6E">
        <w:rPr>
          <w:rFonts w:eastAsia="Arial" w:cs="Arial"/>
          <w:color w:val="000000" w:themeColor="text1"/>
          <w:szCs w:val="24"/>
        </w:rPr>
        <w:t xml:space="preserve">A delegação argentina submeteu à consideração das demais </w:t>
      </w:r>
      <w:proofErr w:type="gramStart"/>
      <w:r w:rsidRPr="002A4F6E">
        <w:rPr>
          <w:rFonts w:eastAsia="Arial" w:cs="Arial"/>
          <w:color w:val="000000" w:themeColor="text1"/>
          <w:szCs w:val="24"/>
        </w:rPr>
        <w:t>delegações</w:t>
      </w:r>
      <w:r w:rsidR="004D0638" w:rsidRPr="002A4F6E">
        <w:rPr>
          <w:rFonts w:eastAsia="Arial" w:cs="Arial"/>
          <w:color w:val="000000" w:themeColor="text1"/>
          <w:szCs w:val="24"/>
        </w:rPr>
        <w:t xml:space="preserve"> </w:t>
      </w:r>
      <w:r w:rsidRPr="002A4F6E">
        <w:rPr>
          <w:rFonts w:eastAsia="Arial" w:cs="Arial"/>
          <w:color w:val="000000" w:themeColor="text1"/>
          <w:szCs w:val="24"/>
        </w:rPr>
        <w:t>proposta</w:t>
      </w:r>
      <w:proofErr w:type="gramEnd"/>
      <w:r w:rsidRPr="002A4F6E">
        <w:rPr>
          <w:rFonts w:eastAsia="Arial" w:cs="Arial"/>
          <w:color w:val="000000" w:themeColor="text1"/>
          <w:szCs w:val="24"/>
        </w:rPr>
        <w:t xml:space="preserve"> de modelo para apresentação de anteprojeto de orçamento </w:t>
      </w:r>
      <w:r w:rsidRPr="002A4F6E">
        <w:rPr>
          <w:rFonts w:eastAsia="Arial" w:cs="Arial"/>
          <w:b/>
          <w:bCs/>
          <w:color w:val="000000" w:themeColor="text1"/>
          <w:szCs w:val="24"/>
        </w:rPr>
        <w:t>(Anexo XXVI)</w:t>
      </w:r>
      <w:r w:rsidRPr="002A4F6E">
        <w:rPr>
          <w:rFonts w:eastAsia="Arial" w:cs="Arial"/>
          <w:color w:val="000000" w:themeColor="text1"/>
          <w:szCs w:val="24"/>
        </w:rPr>
        <w:t>. As delegações concordaram em apresentar comentários até a próxima reunião do GAO, antes de 31/10/2025.</w:t>
      </w:r>
    </w:p>
    <w:p w14:paraId="44E42797" w14:textId="34B9A04D" w:rsidR="00434E80" w:rsidRPr="002A4F6E" w:rsidRDefault="0DED14D5" w:rsidP="015AD2CD">
      <w:pPr>
        <w:tabs>
          <w:tab w:val="center" w:pos="4252"/>
          <w:tab w:val="right" w:pos="8478"/>
          <w:tab w:val="left" w:pos="8496"/>
          <w:tab w:val="left" w:pos="8520"/>
        </w:tabs>
        <w:jc w:val="both"/>
        <w:rPr>
          <w:rFonts w:cs="Arial"/>
        </w:rPr>
      </w:pPr>
      <w:r w:rsidRPr="002A4F6E">
        <w:rPr>
          <w:rFonts w:eastAsia="Arial" w:cs="Arial"/>
          <w:b/>
          <w:bCs/>
          <w:color w:val="000000" w:themeColor="text1"/>
          <w:szCs w:val="24"/>
        </w:rPr>
        <w:t xml:space="preserve"> </w:t>
      </w:r>
    </w:p>
    <w:p w14:paraId="5F1D3107" w14:textId="1B9D4689" w:rsidR="00434E80" w:rsidRPr="002A4F6E" w:rsidRDefault="0DED14D5" w:rsidP="015AD2CD">
      <w:pPr>
        <w:tabs>
          <w:tab w:val="center" w:pos="4252"/>
          <w:tab w:val="right" w:pos="8478"/>
          <w:tab w:val="left" w:pos="8496"/>
          <w:tab w:val="left" w:pos="8520"/>
        </w:tabs>
        <w:jc w:val="both"/>
        <w:rPr>
          <w:rFonts w:cs="Arial"/>
        </w:rPr>
      </w:pPr>
      <w:r w:rsidRPr="002A4F6E">
        <w:rPr>
          <w:rFonts w:eastAsia="Arial" w:cs="Arial"/>
          <w:b/>
          <w:bCs/>
          <w:color w:val="000000" w:themeColor="text1"/>
          <w:szCs w:val="24"/>
        </w:rPr>
        <w:t xml:space="preserve"> </w:t>
      </w:r>
    </w:p>
    <w:p w14:paraId="09953924" w14:textId="5662BC15" w:rsidR="00434E80" w:rsidRDefault="0DED14D5" w:rsidP="015AD2CD">
      <w:pPr>
        <w:tabs>
          <w:tab w:val="center" w:pos="4252"/>
          <w:tab w:val="right" w:pos="8478"/>
          <w:tab w:val="left" w:pos="8496"/>
          <w:tab w:val="left" w:pos="8520"/>
        </w:tabs>
        <w:jc w:val="both"/>
      </w:pPr>
      <w:r w:rsidRPr="015AD2CD">
        <w:rPr>
          <w:rFonts w:eastAsia="Arial" w:cs="Arial"/>
          <w:b/>
          <w:bCs/>
          <w:color w:val="000000" w:themeColor="text1"/>
          <w:szCs w:val="24"/>
        </w:rPr>
        <w:t>ANEXOS</w:t>
      </w:r>
    </w:p>
    <w:p w14:paraId="1ECEE227" w14:textId="597EA3EB" w:rsidR="00434E80" w:rsidRDefault="0DED14D5" w:rsidP="015AD2CD">
      <w:pPr>
        <w:tabs>
          <w:tab w:val="center" w:pos="4252"/>
          <w:tab w:val="right" w:pos="8478"/>
          <w:tab w:val="left" w:pos="8496"/>
          <w:tab w:val="left" w:pos="8520"/>
        </w:tabs>
        <w:jc w:val="both"/>
      </w:pPr>
      <w:r w:rsidRPr="015AD2CD">
        <w:rPr>
          <w:rFonts w:eastAsia="Arial" w:cs="Arial"/>
          <w:b/>
          <w:bCs/>
          <w:color w:val="000000" w:themeColor="text1"/>
          <w:szCs w:val="24"/>
        </w:rPr>
        <w:t xml:space="preserve"> </w:t>
      </w:r>
    </w:p>
    <w:p w14:paraId="60D2A27B" w14:textId="0B83EA4F" w:rsidR="00434E80" w:rsidRDefault="0DED14D5" w:rsidP="015AD2CD">
      <w:pPr>
        <w:tabs>
          <w:tab w:val="center" w:pos="4252"/>
          <w:tab w:val="right" w:pos="8478"/>
          <w:tab w:val="left" w:pos="8496"/>
          <w:tab w:val="left" w:pos="8520"/>
        </w:tabs>
        <w:jc w:val="both"/>
      </w:pPr>
      <w:r w:rsidRPr="015AD2CD">
        <w:rPr>
          <w:rFonts w:eastAsia="Arial" w:cs="Arial"/>
          <w:color w:val="000000" w:themeColor="text1"/>
          <w:szCs w:val="24"/>
        </w:rPr>
        <w:t>Os Anexos que fazem parte da presente ata são os seguintes:</w:t>
      </w:r>
    </w:p>
    <w:p w14:paraId="639498CB" w14:textId="3819DFBE" w:rsidR="00434E80" w:rsidRDefault="0DED14D5" w:rsidP="015AD2CD">
      <w:pPr>
        <w:tabs>
          <w:tab w:val="center" w:pos="4819"/>
          <w:tab w:val="right" w:pos="8478"/>
          <w:tab w:val="left" w:pos="8496"/>
          <w:tab w:val="left" w:pos="8520"/>
        </w:tabs>
        <w:jc w:val="both"/>
      </w:pPr>
      <w:r w:rsidRPr="015AD2CD">
        <w:rPr>
          <w:rFonts w:eastAsia="Arial" w:cs="Arial"/>
          <w:szCs w:val="24"/>
        </w:rPr>
        <w:t xml:space="preserve"> </w:t>
      </w:r>
    </w:p>
    <w:tbl>
      <w:tblPr>
        <w:tblStyle w:val="Tablaconcuadrcula"/>
        <w:tblW w:w="9470" w:type="dxa"/>
        <w:tblInd w:w="10" w:type="dxa"/>
        <w:tblLayout w:type="fixed"/>
        <w:tblLook w:val="04A0" w:firstRow="1" w:lastRow="0" w:firstColumn="1" w:lastColumn="0" w:noHBand="0" w:noVBand="1"/>
      </w:tblPr>
      <w:tblGrid>
        <w:gridCol w:w="1790"/>
        <w:gridCol w:w="7680"/>
      </w:tblGrid>
      <w:tr w:rsidR="015AD2CD" w:rsidRPr="004D0638" w14:paraId="0DAC357B" w14:textId="77777777" w:rsidTr="004D0638">
        <w:trPr>
          <w:trHeight w:val="195"/>
        </w:trPr>
        <w:tc>
          <w:tcPr>
            <w:tcW w:w="179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3B0567FE" w14:textId="5F825827" w:rsidR="015AD2CD" w:rsidRPr="004D0638" w:rsidRDefault="015AD2CD" w:rsidP="004D0638">
            <w:pPr>
              <w:tabs>
                <w:tab w:val="left" w:pos="708"/>
                <w:tab w:val="left" w:pos="1416"/>
                <w:tab w:val="left" w:pos="1440"/>
              </w:tabs>
              <w:jc w:val="both"/>
              <w:rPr>
                <w:rFonts w:cs="Arial"/>
                <w:szCs w:val="24"/>
              </w:rPr>
            </w:pPr>
            <w:r w:rsidRPr="004D0638">
              <w:rPr>
                <w:rFonts w:eastAsia="Arial" w:cs="Arial"/>
                <w:b/>
                <w:bCs/>
                <w:color w:val="000000" w:themeColor="text1"/>
                <w:szCs w:val="24"/>
              </w:rPr>
              <w:t>Anexo I</w:t>
            </w:r>
          </w:p>
        </w:tc>
        <w:tc>
          <w:tcPr>
            <w:tcW w:w="76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65CC9F67" w14:textId="68D6CCA3" w:rsidR="015AD2CD" w:rsidRPr="004D0638" w:rsidRDefault="015AD2CD" w:rsidP="004D0638">
            <w:pPr>
              <w:tabs>
                <w:tab w:val="left" w:pos="708"/>
                <w:tab w:val="left" w:pos="1416"/>
                <w:tab w:val="left" w:pos="2124"/>
                <w:tab w:val="left" w:pos="2832"/>
                <w:tab w:val="left" w:pos="3540"/>
                <w:tab w:val="left" w:pos="4248"/>
                <w:tab w:val="left" w:pos="4956"/>
                <w:tab w:val="left" w:pos="5664"/>
                <w:tab w:val="left" w:pos="6372"/>
                <w:tab w:val="left" w:pos="7080"/>
                <w:tab w:val="left" w:pos="7200"/>
              </w:tabs>
              <w:jc w:val="both"/>
              <w:rPr>
                <w:rFonts w:cs="Arial"/>
                <w:szCs w:val="24"/>
              </w:rPr>
            </w:pPr>
            <w:r w:rsidRPr="004D0638">
              <w:rPr>
                <w:rFonts w:eastAsia="Arial" w:cs="Arial"/>
                <w:color w:val="000000" w:themeColor="text1"/>
                <w:szCs w:val="24"/>
              </w:rPr>
              <w:t>Lista de Participantes</w:t>
            </w:r>
          </w:p>
        </w:tc>
      </w:tr>
      <w:tr w:rsidR="015AD2CD" w:rsidRPr="004D0638" w14:paraId="0F329975" w14:textId="77777777" w:rsidTr="004D0638">
        <w:trPr>
          <w:trHeight w:val="285"/>
        </w:trPr>
        <w:tc>
          <w:tcPr>
            <w:tcW w:w="179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0635AD1F" w14:textId="7FFD0060" w:rsidR="015AD2CD" w:rsidRPr="004D0638" w:rsidRDefault="015AD2CD" w:rsidP="004D0638">
            <w:pPr>
              <w:tabs>
                <w:tab w:val="left" w:pos="708"/>
                <w:tab w:val="left" w:pos="1416"/>
                <w:tab w:val="left" w:pos="1440"/>
              </w:tabs>
              <w:jc w:val="both"/>
              <w:rPr>
                <w:rFonts w:cs="Arial"/>
                <w:szCs w:val="24"/>
              </w:rPr>
            </w:pPr>
            <w:r w:rsidRPr="004D0638">
              <w:rPr>
                <w:rFonts w:eastAsia="Arial" w:cs="Arial"/>
                <w:b/>
                <w:bCs/>
                <w:color w:val="000000" w:themeColor="text1"/>
                <w:szCs w:val="24"/>
              </w:rPr>
              <w:t>Anexo II</w:t>
            </w:r>
          </w:p>
        </w:tc>
        <w:tc>
          <w:tcPr>
            <w:tcW w:w="76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2807DA23" w14:textId="02868A43" w:rsidR="015AD2CD" w:rsidRPr="004D0638" w:rsidRDefault="015AD2CD" w:rsidP="004D0638">
            <w:pPr>
              <w:tabs>
                <w:tab w:val="left" w:pos="708"/>
                <w:tab w:val="left" w:pos="1416"/>
                <w:tab w:val="left" w:pos="2124"/>
                <w:tab w:val="left" w:pos="2832"/>
                <w:tab w:val="left" w:pos="3540"/>
                <w:tab w:val="left" w:pos="4248"/>
                <w:tab w:val="left" w:pos="4956"/>
                <w:tab w:val="left" w:pos="5664"/>
                <w:tab w:val="left" w:pos="6372"/>
                <w:tab w:val="left" w:pos="7080"/>
                <w:tab w:val="left" w:pos="7200"/>
              </w:tabs>
              <w:jc w:val="both"/>
              <w:rPr>
                <w:rFonts w:cs="Arial"/>
                <w:szCs w:val="24"/>
              </w:rPr>
            </w:pPr>
            <w:r w:rsidRPr="004D0638">
              <w:rPr>
                <w:rFonts w:eastAsia="Arial" w:cs="Arial"/>
                <w:color w:val="000000" w:themeColor="text1"/>
                <w:szCs w:val="24"/>
              </w:rPr>
              <w:t>Agenda</w:t>
            </w:r>
          </w:p>
        </w:tc>
      </w:tr>
      <w:tr w:rsidR="015AD2CD" w:rsidRPr="004D0638" w14:paraId="3800DE75" w14:textId="77777777" w:rsidTr="004D0638">
        <w:trPr>
          <w:trHeight w:val="270"/>
        </w:trPr>
        <w:tc>
          <w:tcPr>
            <w:tcW w:w="179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530EA67A" w14:textId="4A944AA2" w:rsidR="015AD2CD" w:rsidRPr="004D0638" w:rsidRDefault="015AD2CD" w:rsidP="004D0638">
            <w:pPr>
              <w:tabs>
                <w:tab w:val="left" w:pos="708"/>
                <w:tab w:val="left" w:pos="1416"/>
                <w:tab w:val="left" w:pos="1440"/>
              </w:tabs>
              <w:jc w:val="both"/>
              <w:rPr>
                <w:rFonts w:cs="Arial"/>
                <w:szCs w:val="24"/>
              </w:rPr>
            </w:pPr>
            <w:r w:rsidRPr="004D0638">
              <w:rPr>
                <w:rFonts w:eastAsia="Arial" w:cs="Arial"/>
                <w:b/>
                <w:bCs/>
                <w:color w:val="000000" w:themeColor="text1"/>
                <w:szCs w:val="24"/>
              </w:rPr>
              <w:t>Anexo III</w:t>
            </w:r>
          </w:p>
        </w:tc>
        <w:tc>
          <w:tcPr>
            <w:tcW w:w="76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3C2640FA" w14:textId="23F6AD61" w:rsidR="015AD2CD" w:rsidRPr="004D0638" w:rsidRDefault="015AD2CD" w:rsidP="004D0638">
            <w:pPr>
              <w:tabs>
                <w:tab w:val="left" w:pos="708"/>
                <w:tab w:val="left" w:pos="1416"/>
                <w:tab w:val="left" w:pos="2124"/>
                <w:tab w:val="left" w:pos="2832"/>
                <w:tab w:val="left" w:pos="3540"/>
                <w:tab w:val="left" w:pos="4248"/>
                <w:tab w:val="left" w:pos="4956"/>
                <w:tab w:val="left" w:pos="5664"/>
                <w:tab w:val="left" w:pos="6372"/>
                <w:tab w:val="left" w:pos="7080"/>
                <w:tab w:val="left" w:pos="7200"/>
              </w:tabs>
              <w:jc w:val="both"/>
              <w:rPr>
                <w:rFonts w:cs="Arial"/>
                <w:szCs w:val="24"/>
              </w:rPr>
            </w:pPr>
            <w:r w:rsidRPr="004D0638">
              <w:rPr>
                <w:rFonts w:eastAsia="Arial" w:cs="Arial"/>
                <w:color w:val="000000" w:themeColor="text1"/>
                <w:szCs w:val="24"/>
              </w:rPr>
              <w:t>Resumo da Ata</w:t>
            </w:r>
          </w:p>
        </w:tc>
      </w:tr>
      <w:tr w:rsidR="015AD2CD" w:rsidRPr="004D0638" w14:paraId="577518C0" w14:textId="77777777" w:rsidTr="004D0638">
        <w:trPr>
          <w:trHeight w:val="360"/>
        </w:trPr>
        <w:tc>
          <w:tcPr>
            <w:tcW w:w="179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6236ACEC" w14:textId="7E8BB7C0" w:rsidR="015AD2CD" w:rsidRPr="004D0638" w:rsidRDefault="015AD2CD" w:rsidP="004D0638">
            <w:pPr>
              <w:tabs>
                <w:tab w:val="left" w:pos="708"/>
                <w:tab w:val="left" w:pos="1416"/>
                <w:tab w:val="left" w:pos="1440"/>
              </w:tabs>
              <w:jc w:val="both"/>
              <w:rPr>
                <w:rFonts w:cs="Arial"/>
                <w:szCs w:val="24"/>
              </w:rPr>
            </w:pPr>
            <w:r w:rsidRPr="004D0638">
              <w:rPr>
                <w:rFonts w:eastAsia="Arial" w:cs="Arial"/>
                <w:b/>
                <w:bCs/>
                <w:color w:val="000000" w:themeColor="text1"/>
                <w:szCs w:val="24"/>
              </w:rPr>
              <w:t>Anexo IV</w:t>
            </w:r>
          </w:p>
        </w:tc>
        <w:tc>
          <w:tcPr>
            <w:tcW w:w="76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6C491BF9" w14:textId="1CAE8F1B" w:rsidR="015AD2CD" w:rsidRPr="004D0638" w:rsidRDefault="015AD2CD" w:rsidP="004D0638">
            <w:pPr>
              <w:tabs>
                <w:tab w:val="left" w:pos="708"/>
                <w:tab w:val="left" w:pos="1416"/>
                <w:tab w:val="left" w:pos="2124"/>
                <w:tab w:val="left" w:pos="2832"/>
                <w:tab w:val="left" w:pos="3540"/>
                <w:tab w:val="left" w:pos="4248"/>
                <w:tab w:val="left" w:pos="4956"/>
                <w:tab w:val="left" w:pos="5664"/>
                <w:tab w:val="left" w:pos="6372"/>
                <w:tab w:val="left" w:pos="7080"/>
                <w:tab w:val="left" w:pos="7200"/>
              </w:tabs>
              <w:jc w:val="both"/>
              <w:rPr>
                <w:rFonts w:cs="Arial"/>
                <w:szCs w:val="24"/>
              </w:rPr>
            </w:pPr>
            <w:r w:rsidRPr="004D0638">
              <w:rPr>
                <w:rFonts w:eastAsia="Arial" w:cs="Arial"/>
                <w:color w:val="000000" w:themeColor="text1"/>
                <w:szCs w:val="24"/>
              </w:rPr>
              <w:t>Relatório de execução orçamentária entre o 1 de abril e o 31 de julho de 2025 - SM</w:t>
            </w:r>
          </w:p>
        </w:tc>
      </w:tr>
      <w:tr w:rsidR="015AD2CD" w:rsidRPr="004D0638" w14:paraId="0C05E3C7" w14:textId="77777777" w:rsidTr="004D0638">
        <w:trPr>
          <w:trHeight w:val="360"/>
        </w:trPr>
        <w:tc>
          <w:tcPr>
            <w:tcW w:w="179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18FD935D" w14:textId="18280FAD" w:rsidR="015AD2CD" w:rsidRPr="004D0638" w:rsidRDefault="015AD2CD" w:rsidP="004D0638">
            <w:pPr>
              <w:tabs>
                <w:tab w:val="left" w:pos="708"/>
                <w:tab w:val="left" w:pos="1416"/>
                <w:tab w:val="left" w:pos="1440"/>
              </w:tabs>
              <w:jc w:val="both"/>
              <w:rPr>
                <w:rFonts w:cs="Arial"/>
                <w:szCs w:val="24"/>
              </w:rPr>
            </w:pPr>
            <w:r w:rsidRPr="004D0638">
              <w:rPr>
                <w:rFonts w:eastAsia="Arial" w:cs="Arial"/>
                <w:b/>
                <w:bCs/>
                <w:color w:val="000000" w:themeColor="text1"/>
                <w:szCs w:val="24"/>
              </w:rPr>
              <w:t>Anexo V</w:t>
            </w:r>
          </w:p>
        </w:tc>
        <w:tc>
          <w:tcPr>
            <w:tcW w:w="76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0D82FC7B" w14:textId="2372B5E7" w:rsidR="015AD2CD" w:rsidRPr="004D0638" w:rsidRDefault="015AD2CD" w:rsidP="004D0638">
            <w:pPr>
              <w:tabs>
                <w:tab w:val="left" w:pos="708"/>
                <w:tab w:val="left" w:pos="1416"/>
                <w:tab w:val="left" w:pos="2124"/>
                <w:tab w:val="left" w:pos="2832"/>
                <w:tab w:val="left" w:pos="3540"/>
                <w:tab w:val="left" w:pos="4248"/>
                <w:tab w:val="left" w:pos="4956"/>
                <w:tab w:val="left" w:pos="5664"/>
                <w:tab w:val="left" w:pos="6372"/>
                <w:tab w:val="left" w:pos="7080"/>
                <w:tab w:val="left" w:pos="7200"/>
              </w:tabs>
              <w:jc w:val="both"/>
              <w:rPr>
                <w:rFonts w:cs="Arial"/>
                <w:szCs w:val="24"/>
              </w:rPr>
            </w:pPr>
            <w:r w:rsidRPr="004D0638">
              <w:rPr>
                <w:rFonts w:eastAsia="Arial" w:cs="Arial"/>
                <w:szCs w:val="24"/>
              </w:rPr>
              <w:t>Planilha de execução orçamentária mensal e acumulada (abril, maio, junho e julho) - SM</w:t>
            </w:r>
          </w:p>
        </w:tc>
      </w:tr>
      <w:tr w:rsidR="015AD2CD" w:rsidRPr="004D0638" w14:paraId="5CFF530F" w14:textId="77777777" w:rsidTr="004D0638">
        <w:trPr>
          <w:trHeight w:val="360"/>
        </w:trPr>
        <w:tc>
          <w:tcPr>
            <w:tcW w:w="179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55DD8878" w14:textId="304DB541" w:rsidR="015AD2CD" w:rsidRPr="004D0638" w:rsidRDefault="015AD2CD" w:rsidP="004D0638">
            <w:pPr>
              <w:tabs>
                <w:tab w:val="left" w:pos="708"/>
                <w:tab w:val="left" w:pos="1416"/>
                <w:tab w:val="left" w:pos="1440"/>
              </w:tabs>
              <w:jc w:val="both"/>
              <w:rPr>
                <w:rFonts w:cs="Arial"/>
                <w:szCs w:val="24"/>
              </w:rPr>
            </w:pPr>
            <w:r w:rsidRPr="004D0638">
              <w:rPr>
                <w:rFonts w:eastAsia="Arial" w:cs="Arial"/>
                <w:b/>
                <w:bCs/>
                <w:color w:val="000000" w:themeColor="text1"/>
                <w:szCs w:val="24"/>
              </w:rPr>
              <w:t>Anexo VI</w:t>
            </w:r>
          </w:p>
        </w:tc>
        <w:tc>
          <w:tcPr>
            <w:tcW w:w="76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2BBF3A88" w14:textId="0C7EB1CF" w:rsidR="015AD2CD" w:rsidRPr="004D0638" w:rsidRDefault="015AD2CD" w:rsidP="004D0638">
            <w:pPr>
              <w:tabs>
                <w:tab w:val="left" w:pos="708"/>
                <w:tab w:val="left" w:pos="1416"/>
                <w:tab w:val="left" w:pos="2124"/>
                <w:tab w:val="left" w:pos="2832"/>
                <w:tab w:val="left" w:pos="3540"/>
                <w:tab w:val="left" w:pos="4248"/>
                <w:tab w:val="left" w:pos="4956"/>
                <w:tab w:val="left" w:pos="5664"/>
                <w:tab w:val="left" w:pos="6372"/>
                <w:tab w:val="left" w:pos="7080"/>
                <w:tab w:val="left" w:pos="7200"/>
              </w:tabs>
              <w:jc w:val="both"/>
              <w:rPr>
                <w:rFonts w:cs="Arial"/>
                <w:szCs w:val="24"/>
              </w:rPr>
            </w:pPr>
            <w:r w:rsidRPr="004D0638">
              <w:rPr>
                <w:rFonts w:eastAsia="Arial" w:cs="Arial"/>
                <w:szCs w:val="24"/>
              </w:rPr>
              <w:t>Contribuições dos Estados Partes à SM até 31 de julho de 2025</w:t>
            </w:r>
          </w:p>
        </w:tc>
      </w:tr>
      <w:tr w:rsidR="015AD2CD" w:rsidRPr="004D0638" w14:paraId="776E4D4F" w14:textId="77777777" w:rsidTr="004D0638">
        <w:trPr>
          <w:trHeight w:val="360"/>
        </w:trPr>
        <w:tc>
          <w:tcPr>
            <w:tcW w:w="179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3E7FE3C2" w14:textId="47DDE747" w:rsidR="015AD2CD" w:rsidRPr="004D0638" w:rsidRDefault="015AD2CD" w:rsidP="004D0638">
            <w:pPr>
              <w:tabs>
                <w:tab w:val="left" w:pos="708"/>
                <w:tab w:val="left" w:pos="1416"/>
                <w:tab w:val="left" w:pos="1440"/>
              </w:tabs>
              <w:jc w:val="both"/>
              <w:rPr>
                <w:rFonts w:cs="Arial"/>
                <w:szCs w:val="24"/>
              </w:rPr>
            </w:pPr>
            <w:r w:rsidRPr="004D0638">
              <w:rPr>
                <w:rFonts w:eastAsia="Arial" w:cs="Arial"/>
                <w:b/>
                <w:bCs/>
                <w:color w:val="000000" w:themeColor="text1"/>
                <w:szCs w:val="24"/>
              </w:rPr>
              <w:t>Anexo VII</w:t>
            </w:r>
          </w:p>
        </w:tc>
        <w:tc>
          <w:tcPr>
            <w:tcW w:w="76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1E6DAFBE" w14:textId="26A788BF" w:rsidR="015AD2CD" w:rsidRPr="004D0638" w:rsidRDefault="015AD2CD" w:rsidP="004D0638">
            <w:pPr>
              <w:tabs>
                <w:tab w:val="left" w:pos="708"/>
                <w:tab w:val="left" w:pos="1416"/>
                <w:tab w:val="left" w:pos="2124"/>
                <w:tab w:val="left" w:pos="2832"/>
                <w:tab w:val="left" w:pos="3540"/>
                <w:tab w:val="left" w:pos="4248"/>
                <w:tab w:val="left" w:pos="4956"/>
                <w:tab w:val="left" w:pos="5664"/>
                <w:tab w:val="left" w:pos="6372"/>
                <w:tab w:val="left" w:pos="7080"/>
                <w:tab w:val="left" w:pos="7200"/>
              </w:tabs>
              <w:jc w:val="both"/>
              <w:rPr>
                <w:rFonts w:cs="Arial"/>
                <w:szCs w:val="24"/>
              </w:rPr>
            </w:pPr>
            <w:r w:rsidRPr="004D0638">
              <w:rPr>
                <w:rFonts w:eastAsia="Arial" w:cs="Arial"/>
                <w:color w:val="000000" w:themeColor="text1"/>
                <w:szCs w:val="24"/>
              </w:rPr>
              <w:t>Estado dos recursos excedentes anuais e sua utilização em 31 de julho de 2025 - SM</w:t>
            </w:r>
          </w:p>
        </w:tc>
      </w:tr>
      <w:tr w:rsidR="015AD2CD" w:rsidRPr="004D0638" w14:paraId="37979738" w14:textId="77777777" w:rsidTr="004D0638">
        <w:trPr>
          <w:trHeight w:val="360"/>
        </w:trPr>
        <w:tc>
          <w:tcPr>
            <w:tcW w:w="179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397DC190" w14:textId="37EA98FF" w:rsidR="015AD2CD" w:rsidRPr="004D0638" w:rsidRDefault="015AD2CD" w:rsidP="004D0638">
            <w:pPr>
              <w:tabs>
                <w:tab w:val="left" w:pos="708"/>
                <w:tab w:val="left" w:pos="1416"/>
                <w:tab w:val="left" w:pos="1440"/>
              </w:tabs>
              <w:jc w:val="both"/>
              <w:rPr>
                <w:rFonts w:cs="Arial"/>
                <w:szCs w:val="24"/>
              </w:rPr>
            </w:pPr>
            <w:r w:rsidRPr="004D0638">
              <w:rPr>
                <w:rFonts w:eastAsia="Arial" w:cs="Arial"/>
                <w:b/>
                <w:bCs/>
                <w:color w:val="000000" w:themeColor="text1"/>
                <w:szCs w:val="24"/>
              </w:rPr>
              <w:t>Anexo VIII</w:t>
            </w:r>
          </w:p>
        </w:tc>
        <w:tc>
          <w:tcPr>
            <w:tcW w:w="76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394CCA1D" w14:textId="24F2F080" w:rsidR="015AD2CD" w:rsidRPr="004D0638" w:rsidRDefault="015AD2CD" w:rsidP="004D0638">
            <w:pPr>
              <w:tabs>
                <w:tab w:val="left" w:pos="708"/>
                <w:tab w:val="left" w:pos="1416"/>
                <w:tab w:val="left" w:pos="2124"/>
                <w:tab w:val="left" w:pos="2832"/>
                <w:tab w:val="left" w:pos="3540"/>
                <w:tab w:val="left" w:pos="4248"/>
                <w:tab w:val="left" w:pos="4956"/>
                <w:tab w:val="left" w:pos="5664"/>
                <w:tab w:val="left" w:pos="6372"/>
                <w:tab w:val="left" w:pos="7080"/>
                <w:tab w:val="left" w:pos="7200"/>
              </w:tabs>
              <w:jc w:val="both"/>
              <w:rPr>
                <w:rFonts w:cs="Arial"/>
                <w:szCs w:val="24"/>
              </w:rPr>
            </w:pPr>
            <w:r w:rsidRPr="004D0638">
              <w:rPr>
                <w:rFonts w:eastAsia="Arial" w:cs="Arial"/>
                <w:szCs w:val="24"/>
              </w:rPr>
              <w:t>Quadros do total de excedentes disponíveis nas contas bancárias da SM</w:t>
            </w:r>
          </w:p>
        </w:tc>
      </w:tr>
      <w:tr w:rsidR="015AD2CD" w:rsidRPr="004D0638" w14:paraId="5709E030" w14:textId="77777777" w:rsidTr="004D0638">
        <w:trPr>
          <w:trHeight w:val="360"/>
        </w:trPr>
        <w:tc>
          <w:tcPr>
            <w:tcW w:w="179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4C17F2B5" w14:textId="692A54D1" w:rsidR="015AD2CD" w:rsidRPr="004D0638" w:rsidRDefault="015AD2CD" w:rsidP="004D0638">
            <w:pPr>
              <w:tabs>
                <w:tab w:val="left" w:pos="708"/>
                <w:tab w:val="left" w:pos="1416"/>
                <w:tab w:val="left" w:pos="1440"/>
              </w:tabs>
              <w:jc w:val="both"/>
              <w:rPr>
                <w:rFonts w:cs="Arial"/>
                <w:szCs w:val="24"/>
              </w:rPr>
            </w:pPr>
            <w:r w:rsidRPr="004D0638">
              <w:rPr>
                <w:rFonts w:eastAsia="Arial" w:cs="Arial"/>
                <w:b/>
                <w:bCs/>
                <w:color w:val="000000" w:themeColor="text1"/>
                <w:szCs w:val="24"/>
              </w:rPr>
              <w:t>Anexo IX</w:t>
            </w:r>
          </w:p>
        </w:tc>
        <w:tc>
          <w:tcPr>
            <w:tcW w:w="76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0A6C5903" w14:textId="16FA643F" w:rsidR="015AD2CD" w:rsidRPr="004D0638" w:rsidRDefault="015AD2CD" w:rsidP="004D0638">
            <w:pPr>
              <w:tabs>
                <w:tab w:val="left" w:pos="708"/>
                <w:tab w:val="left" w:pos="1416"/>
                <w:tab w:val="left" w:pos="2124"/>
                <w:tab w:val="left" w:pos="2832"/>
                <w:tab w:val="left" w:pos="3540"/>
                <w:tab w:val="left" w:pos="4248"/>
                <w:tab w:val="left" w:pos="4956"/>
                <w:tab w:val="left" w:pos="5664"/>
                <w:tab w:val="left" w:pos="6372"/>
                <w:tab w:val="left" w:pos="7080"/>
                <w:tab w:val="left" w:pos="7200"/>
              </w:tabs>
              <w:jc w:val="both"/>
              <w:rPr>
                <w:rFonts w:cs="Arial"/>
                <w:szCs w:val="24"/>
              </w:rPr>
            </w:pPr>
            <w:r w:rsidRPr="004D0638">
              <w:rPr>
                <w:rFonts w:eastAsia="Arial" w:cs="Arial"/>
                <w:color w:val="000000" w:themeColor="text1"/>
                <w:szCs w:val="24"/>
              </w:rPr>
              <w:t xml:space="preserve">Relatório de execução orçamentária entre o 1 de janeiro e o 31 de julho de 2025 - </w:t>
            </w:r>
            <w:r w:rsidRPr="004D0638">
              <w:rPr>
                <w:rFonts w:eastAsia="Arial" w:cs="Arial"/>
                <w:szCs w:val="24"/>
              </w:rPr>
              <w:t>TPR/ST</w:t>
            </w:r>
          </w:p>
        </w:tc>
      </w:tr>
      <w:tr w:rsidR="015AD2CD" w:rsidRPr="004D0638" w14:paraId="27208E90" w14:textId="77777777" w:rsidTr="004D0638">
        <w:trPr>
          <w:trHeight w:val="360"/>
        </w:trPr>
        <w:tc>
          <w:tcPr>
            <w:tcW w:w="179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49C35B01" w14:textId="5A9DEBD9" w:rsidR="015AD2CD" w:rsidRPr="004D0638" w:rsidRDefault="015AD2CD" w:rsidP="004D0638">
            <w:pPr>
              <w:tabs>
                <w:tab w:val="left" w:pos="708"/>
                <w:tab w:val="left" w:pos="1416"/>
                <w:tab w:val="left" w:pos="1440"/>
              </w:tabs>
              <w:jc w:val="both"/>
              <w:rPr>
                <w:rFonts w:cs="Arial"/>
                <w:szCs w:val="24"/>
              </w:rPr>
            </w:pPr>
            <w:r w:rsidRPr="004D0638">
              <w:rPr>
                <w:rFonts w:eastAsia="Arial" w:cs="Arial"/>
                <w:b/>
                <w:bCs/>
                <w:szCs w:val="24"/>
              </w:rPr>
              <w:lastRenderedPageBreak/>
              <w:t>Anexo X</w:t>
            </w:r>
          </w:p>
        </w:tc>
        <w:tc>
          <w:tcPr>
            <w:tcW w:w="76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36CABC14" w14:textId="747513C3" w:rsidR="015AD2CD" w:rsidRPr="004D0638" w:rsidRDefault="015AD2CD" w:rsidP="004D0638">
            <w:pPr>
              <w:tabs>
                <w:tab w:val="left" w:pos="708"/>
                <w:tab w:val="left" w:pos="1416"/>
                <w:tab w:val="left" w:pos="2124"/>
                <w:tab w:val="left" w:pos="2832"/>
                <w:tab w:val="left" w:pos="3540"/>
                <w:tab w:val="left" w:pos="4248"/>
                <w:tab w:val="left" w:pos="4956"/>
                <w:tab w:val="left" w:pos="5664"/>
                <w:tab w:val="left" w:pos="6372"/>
                <w:tab w:val="left" w:pos="7080"/>
                <w:tab w:val="left" w:pos="7200"/>
              </w:tabs>
              <w:jc w:val="both"/>
              <w:rPr>
                <w:rFonts w:cs="Arial"/>
                <w:szCs w:val="24"/>
              </w:rPr>
            </w:pPr>
            <w:r w:rsidRPr="004D0638">
              <w:rPr>
                <w:rFonts w:eastAsia="Arial" w:cs="Arial"/>
                <w:szCs w:val="24"/>
              </w:rPr>
              <w:t xml:space="preserve">Planilha de execução orçamentária mensal e acumulada (abril, maio, junho, julho) - TPR/ST </w:t>
            </w:r>
          </w:p>
        </w:tc>
      </w:tr>
      <w:tr w:rsidR="015AD2CD" w:rsidRPr="004D0638" w14:paraId="0C2C3BF8" w14:textId="77777777" w:rsidTr="004D0638">
        <w:trPr>
          <w:trHeight w:val="360"/>
        </w:trPr>
        <w:tc>
          <w:tcPr>
            <w:tcW w:w="179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41E3AF59" w14:textId="3F3CCA38" w:rsidR="015AD2CD" w:rsidRPr="004D0638" w:rsidRDefault="015AD2CD" w:rsidP="004D0638">
            <w:pPr>
              <w:tabs>
                <w:tab w:val="left" w:pos="708"/>
                <w:tab w:val="left" w:pos="1416"/>
                <w:tab w:val="left" w:pos="1440"/>
              </w:tabs>
              <w:jc w:val="both"/>
              <w:rPr>
                <w:rFonts w:cs="Arial"/>
                <w:szCs w:val="24"/>
              </w:rPr>
            </w:pPr>
            <w:r w:rsidRPr="004D0638">
              <w:rPr>
                <w:rFonts w:eastAsia="Arial" w:cs="Arial"/>
                <w:b/>
                <w:bCs/>
                <w:color w:val="000000" w:themeColor="text1"/>
                <w:szCs w:val="24"/>
              </w:rPr>
              <w:t>Anexo XI</w:t>
            </w:r>
          </w:p>
        </w:tc>
        <w:tc>
          <w:tcPr>
            <w:tcW w:w="76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632809A0" w14:textId="0BC45791" w:rsidR="015AD2CD" w:rsidRPr="004D0638" w:rsidRDefault="015AD2CD" w:rsidP="004D0638">
            <w:pPr>
              <w:tabs>
                <w:tab w:val="left" w:pos="426"/>
                <w:tab w:val="left" w:pos="1701"/>
                <w:tab w:val="center" w:pos="4252"/>
                <w:tab w:val="right" w:pos="8504"/>
                <w:tab w:val="left" w:pos="8520"/>
              </w:tabs>
              <w:jc w:val="both"/>
              <w:rPr>
                <w:rFonts w:cs="Arial"/>
                <w:szCs w:val="24"/>
              </w:rPr>
            </w:pPr>
            <w:r w:rsidRPr="004D0638">
              <w:rPr>
                <w:rFonts w:eastAsia="Arial" w:cs="Arial"/>
                <w:szCs w:val="24"/>
              </w:rPr>
              <w:t>Quadros de execução orçamentária mensal e acumulada do uso de excedentes (abril, maio, junho e julho) - TPR/ST</w:t>
            </w:r>
          </w:p>
        </w:tc>
      </w:tr>
      <w:tr w:rsidR="015AD2CD" w:rsidRPr="004D0638" w14:paraId="6BDF7F81" w14:textId="77777777" w:rsidTr="004D0638">
        <w:trPr>
          <w:trHeight w:val="360"/>
        </w:trPr>
        <w:tc>
          <w:tcPr>
            <w:tcW w:w="179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64BB8663" w14:textId="46AB2B61" w:rsidR="015AD2CD" w:rsidRPr="004D0638" w:rsidRDefault="015AD2CD" w:rsidP="004D0638">
            <w:pPr>
              <w:tabs>
                <w:tab w:val="left" w:pos="708"/>
                <w:tab w:val="left" w:pos="1416"/>
                <w:tab w:val="left" w:pos="1440"/>
              </w:tabs>
              <w:jc w:val="both"/>
              <w:rPr>
                <w:rFonts w:cs="Arial"/>
                <w:szCs w:val="24"/>
              </w:rPr>
            </w:pPr>
            <w:r w:rsidRPr="004D0638">
              <w:rPr>
                <w:rFonts w:eastAsia="Arial" w:cs="Arial"/>
                <w:b/>
                <w:bCs/>
                <w:color w:val="000000" w:themeColor="text1"/>
                <w:szCs w:val="24"/>
              </w:rPr>
              <w:t>Anexo XII</w:t>
            </w:r>
          </w:p>
        </w:tc>
        <w:tc>
          <w:tcPr>
            <w:tcW w:w="76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28AC068B" w14:textId="7385F538" w:rsidR="015AD2CD" w:rsidRPr="004D0638" w:rsidRDefault="015AD2CD" w:rsidP="004D0638">
            <w:pPr>
              <w:tabs>
                <w:tab w:val="left" w:pos="708"/>
                <w:tab w:val="left" w:pos="1416"/>
                <w:tab w:val="left" w:pos="2124"/>
                <w:tab w:val="left" w:pos="2832"/>
                <w:tab w:val="left" w:pos="3540"/>
                <w:tab w:val="left" w:pos="4248"/>
                <w:tab w:val="left" w:pos="4956"/>
                <w:tab w:val="left" w:pos="5664"/>
                <w:tab w:val="left" w:pos="6372"/>
                <w:tab w:val="left" w:pos="7080"/>
                <w:tab w:val="left" w:pos="7200"/>
              </w:tabs>
              <w:jc w:val="both"/>
              <w:rPr>
                <w:rFonts w:cs="Arial"/>
                <w:szCs w:val="24"/>
              </w:rPr>
            </w:pPr>
            <w:r w:rsidRPr="004D0638">
              <w:rPr>
                <w:rFonts w:eastAsia="Arial" w:cs="Arial"/>
                <w:szCs w:val="24"/>
              </w:rPr>
              <w:t>Contribuições dos Estados Partes à TPR/ST até 31 de julho de 2025</w:t>
            </w:r>
          </w:p>
        </w:tc>
      </w:tr>
      <w:tr w:rsidR="015AD2CD" w:rsidRPr="004D0638" w14:paraId="1588ACE5" w14:textId="77777777" w:rsidTr="004D0638">
        <w:trPr>
          <w:trHeight w:val="360"/>
        </w:trPr>
        <w:tc>
          <w:tcPr>
            <w:tcW w:w="179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11B8148A" w14:textId="30645E36" w:rsidR="015AD2CD" w:rsidRPr="004D0638" w:rsidRDefault="015AD2CD" w:rsidP="004D0638">
            <w:pPr>
              <w:tabs>
                <w:tab w:val="left" w:pos="708"/>
                <w:tab w:val="left" w:pos="1416"/>
                <w:tab w:val="left" w:pos="1440"/>
              </w:tabs>
              <w:jc w:val="both"/>
              <w:rPr>
                <w:rFonts w:cs="Arial"/>
                <w:szCs w:val="24"/>
              </w:rPr>
            </w:pPr>
            <w:r w:rsidRPr="004D0638">
              <w:rPr>
                <w:rFonts w:eastAsia="Arial" w:cs="Arial"/>
                <w:b/>
                <w:bCs/>
                <w:color w:val="000000" w:themeColor="text1"/>
                <w:szCs w:val="24"/>
              </w:rPr>
              <w:t>Anexo XIII</w:t>
            </w:r>
          </w:p>
        </w:tc>
        <w:tc>
          <w:tcPr>
            <w:tcW w:w="76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0DE52520" w14:textId="488946F0" w:rsidR="015AD2CD" w:rsidRPr="004D0638" w:rsidRDefault="015AD2CD" w:rsidP="004D0638">
            <w:pPr>
              <w:tabs>
                <w:tab w:val="left" w:pos="708"/>
                <w:tab w:val="left" w:pos="1416"/>
                <w:tab w:val="left" w:pos="2124"/>
                <w:tab w:val="left" w:pos="2832"/>
                <w:tab w:val="left" w:pos="3540"/>
                <w:tab w:val="left" w:pos="4248"/>
                <w:tab w:val="left" w:pos="4956"/>
                <w:tab w:val="left" w:pos="5664"/>
                <w:tab w:val="left" w:pos="6372"/>
                <w:tab w:val="left" w:pos="7080"/>
                <w:tab w:val="left" w:pos="7200"/>
              </w:tabs>
              <w:jc w:val="both"/>
              <w:rPr>
                <w:rFonts w:cs="Arial"/>
                <w:szCs w:val="24"/>
              </w:rPr>
            </w:pPr>
            <w:r w:rsidRPr="004D0638">
              <w:rPr>
                <w:rFonts w:eastAsia="Arial" w:cs="Arial"/>
                <w:szCs w:val="24"/>
              </w:rPr>
              <w:t>Quadros sobre o estado dos recursos excedentes anuais e sua utilização em 31 de julho de 2025 - TPR/ST</w:t>
            </w:r>
          </w:p>
        </w:tc>
      </w:tr>
      <w:tr w:rsidR="015AD2CD" w:rsidRPr="004D0638" w14:paraId="6BB4EF2B" w14:textId="77777777" w:rsidTr="004D0638">
        <w:trPr>
          <w:trHeight w:val="360"/>
        </w:trPr>
        <w:tc>
          <w:tcPr>
            <w:tcW w:w="179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19455FF4" w14:textId="3619E79C" w:rsidR="015AD2CD" w:rsidRPr="004D0638" w:rsidRDefault="015AD2CD" w:rsidP="004D0638">
            <w:pPr>
              <w:tabs>
                <w:tab w:val="left" w:pos="708"/>
                <w:tab w:val="left" w:pos="1416"/>
                <w:tab w:val="left" w:pos="1440"/>
              </w:tabs>
              <w:jc w:val="both"/>
              <w:rPr>
                <w:rFonts w:cs="Arial"/>
                <w:szCs w:val="24"/>
              </w:rPr>
            </w:pPr>
            <w:r w:rsidRPr="004D0638">
              <w:rPr>
                <w:rFonts w:eastAsia="Arial" w:cs="Arial"/>
                <w:b/>
                <w:bCs/>
                <w:color w:val="000000" w:themeColor="text1"/>
                <w:szCs w:val="24"/>
              </w:rPr>
              <w:t>Anexo XIV</w:t>
            </w:r>
          </w:p>
        </w:tc>
        <w:tc>
          <w:tcPr>
            <w:tcW w:w="76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10C8F257" w14:textId="22AE194F" w:rsidR="015AD2CD" w:rsidRPr="004D0638" w:rsidRDefault="015AD2CD" w:rsidP="004D0638">
            <w:pPr>
              <w:tabs>
                <w:tab w:val="left" w:pos="708"/>
                <w:tab w:val="left" w:pos="1416"/>
                <w:tab w:val="left" w:pos="2124"/>
                <w:tab w:val="left" w:pos="2832"/>
                <w:tab w:val="left" w:pos="3540"/>
                <w:tab w:val="left" w:pos="4248"/>
                <w:tab w:val="left" w:pos="4956"/>
                <w:tab w:val="left" w:pos="5664"/>
                <w:tab w:val="left" w:pos="6372"/>
                <w:tab w:val="left" w:pos="7080"/>
                <w:tab w:val="left" w:pos="7200"/>
              </w:tabs>
              <w:jc w:val="both"/>
              <w:rPr>
                <w:rFonts w:cs="Arial"/>
                <w:szCs w:val="24"/>
              </w:rPr>
            </w:pPr>
            <w:r w:rsidRPr="004D0638">
              <w:rPr>
                <w:rFonts w:eastAsia="Arial" w:cs="Arial"/>
                <w:szCs w:val="24"/>
              </w:rPr>
              <w:t>Quadros do total de excedentes disponíveis nas contas bancárias do TPR/ST em 31 de julho de 2025</w:t>
            </w:r>
          </w:p>
        </w:tc>
      </w:tr>
      <w:tr w:rsidR="015AD2CD" w:rsidRPr="004D0638" w14:paraId="1A26CBC9" w14:textId="77777777" w:rsidTr="004D0638">
        <w:trPr>
          <w:trHeight w:val="360"/>
        </w:trPr>
        <w:tc>
          <w:tcPr>
            <w:tcW w:w="179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3ADD8ECF" w14:textId="175EE86D" w:rsidR="015AD2CD" w:rsidRPr="004D0638" w:rsidRDefault="015AD2CD" w:rsidP="004D0638">
            <w:pPr>
              <w:tabs>
                <w:tab w:val="left" w:pos="708"/>
                <w:tab w:val="left" w:pos="1416"/>
                <w:tab w:val="left" w:pos="1440"/>
              </w:tabs>
              <w:rPr>
                <w:rFonts w:cs="Arial"/>
                <w:szCs w:val="24"/>
              </w:rPr>
            </w:pPr>
            <w:r w:rsidRPr="004D0638">
              <w:rPr>
                <w:rFonts w:eastAsia="Arial" w:cs="Arial"/>
                <w:b/>
                <w:bCs/>
                <w:color w:val="000000" w:themeColor="text1"/>
                <w:szCs w:val="24"/>
              </w:rPr>
              <w:t>Anexo XV</w:t>
            </w:r>
          </w:p>
        </w:tc>
        <w:tc>
          <w:tcPr>
            <w:tcW w:w="76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0DC4BAAF" w14:textId="5D9D71AC" w:rsidR="015AD2CD" w:rsidRPr="004D0638" w:rsidRDefault="015AD2CD" w:rsidP="004D0638">
            <w:pPr>
              <w:tabs>
                <w:tab w:val="left" w:pos="708"/>
                <w:tab w:val="left" w:pos="1416"/>
                <w:tab w:val="left" w:pos="2124"/>
                <w:tab w:val="left" w:pos="2832"/>
                <w:tab w:val="left" w:pos="3540"/>
                <w:tab w:val="left" w:pos="4248"/>
                <w:tab w:val="left" w:pos="4956"/>
                <w:tab w:val="left" w:pos="5664"/>
                <w:tab w:val="left" w:pos="6372"/>
                <w:tab w:val="left" w:pos="7080"/>
                <w:tab w:val="left" w:pos="7200"/>
              </w:tabs>
              <w:jc w:val="both"/>
              <w:rPr>
                <w:rFonts w:cs="Arial"/>
                <w:szCs w:val="24"/>
              </w:rPr>
            </w:pPr>
            <w:r w:rsidRPr="004D0638">
              <w:rPr>
                <w:rFonts w:eastAsia="Arial" w:cs="Arial"/>
                <w:color w:val="000000" w:themeColor="text1"/>
                <w:szCs w:val="24"/>
              </w:rPr>
              <w:t xml:space="preserve">Relatório de execução orçamentária entre o 1 de abril e o 31 de julho de 2025 - </w:t>
            </w:r>
            <w:r w:rsidRPr="004D0638">
              <w:rPr>
                <w:rFonts w:eastAsia="Arial" w:cs="Arial"/>
                <w:szCs w:val="24"/>
              </w:rPr>
              <w:t>ISM</w:t>
            </w:r>
          </w:p>
        </w:tc>
      </w:tr>
      <w:tr w:rsidR="015AD2CD" w:rsidRPr="004D0638" w14:paraId="64587A2B" w14:textId="77777777" w:rsidTr="004D0638">
        <w:trPr>
          <w:trHeight w:val="570"/>
        </w:trPr>
        <w:tc>
          <w:tcPr>
            <w:tcW w:w="179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2E1E1F2A" w14:textId="437F27AD" w:rsidR="015AD2CD" w:rsidRPr="004D0638" w:rsidRDefault="015AD2CD" w:rsidP="004D0638">
            <w:pPr>
              <w:tabs>
                <w:tab w:val="left" w:pos="708"/>
                <w:tab w:val="left" w:pos="1416"/>
                <w:tab w:val="left" w:pos="1440"/>
              </w:tabs>
              <w:jc w:val="both"/>
              <w:rPr>
                <w:rFonts w:cs="Arial"/>
                <w:szCs w:val="24"/>
              </w:rPr>
            </w:pPr>
            <w:r w:rsidRPr="004D0638">
              <w:rPr>
                <w:rFonts w:eastAsia="Arial" w:cs="Arial"/>
                <w:b/>
                <w:bCs/>
                <w:color w:val="000000" w:themeColor="text1"/>
                <w:szCs w:val="24"/>
              </w:rPr>
              <w:t>Anexo XVI</w:t>
            </w:r>
          </w:p>
        </w:tc>
        <w:tc>
          <w:tcPr>
            <w:tcW w:w="76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096D713A" w14:textId="06F92A29" w:rsidR="015AD2CD" w:rsidRPr="004D0638" w:rsidRDefault="015AD2CD" w:rsidP="004D0638">
            <w:pPr>
              <w:tabs>
                <w:tab w:val="left" w:pos="426"/>
                <w:tab w:val="left" w:pos="1701"/>
                <w:tab w:val="center" w:pos="4252"/>
                <w:tab w:val="right" w:pos="8504"/>
                <w:tab w:val="left" w:pos="8520"/>
              </w:tabs>
              <w:jc w:val="both"/>
              <w:rPr>
                <w:rFonts w:cs="Arial"/>
                <w:szCs w:val="24"/>
              </w:rPr>
            </w:pPr>
            <w:r w:rsidRPr="004D0638">
              <w:rPr>
                <w:rFonts w:eastAsia="Arial" w:cs="Arial"/>
                <w:szCs w:val="24"/>
              </w:rPr>
              <w:t>Planilha de execução orçamentária mensal e acumulada (abril, maio, junho, julho) - ISM</w:t>
            </w:r>
          </w:p>
        </w:tc>
      </w:tr>
      <w:tr w:rsidR="015AD2CD" w:rsidRPr="004D0638" w14:paraId="023FA1F9" w14:textId="77777777" w:rsidTr="004D0638">
        <w:trPr>
          <w:trHeight w:val="360"/>
        </w:trPr>
        <w:tc>
          <w:tcPr>
            <w:tcW w:w="179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31B065EC" w14:textId="6C073417" w:rsidR="015AD2CD" w:rsidRPr="004D0638" w:rsidRDefault="015AD2CD" w:rsidP="004D0638">
            <w:pPr>
              <w:tabs>
                <w:tab w:val="left" w:pos="708"/>
                <w:tab w:val="left" w:pos="1416"/>
                <w:tab w:val="left" w:pos="1440"/>
              </w:tabs>
              <w:jc w:val="both"/>
              <w:rPr>
                <w:rFonts w:cs="Arial"/>
                <w:szCs w:val="24"/>
              </w:rPr>
            </w:pPr>
            <w:r w:rsidRPr="004D0638">
              <w:rPr>
                <w:rFonts w:eastAsia="Arial" w:cs="Arial"/>
                <w:b/>
                <w:bCs/>
                <w:color w:val="000000" w:themeColor="text1"/>
                <w:szCs w:val="24"/>
              </w:rPr>
              <w:t>Anexo XVII</w:t>
            </w:r>
          </w:p>
        </w:tc>
        <w:tc>
          <w:tcPr>
            <w:tcW w:w="76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12211ED1" w14:textId="2DBDF989" w:rsidR="015AD2CD" w:rsidRPr="004D0638" w:rsidRDefault="015AD2CD" w:rsidP="004D0638">
            <w:pPr>
              <w:tabs>
                <w:tab w:val="left" w:pos="708"/>
                <w:tab w:val="left" w:pos="1416"/>
                <w:tab w:val="left" w:pos="2124"/>
                <w:tab w:val="left" w:pos="2832"/>
                <w:tab w:val="left" w:pos="3540"/>
                <w:tab w:val="left" w:pos="4248"/>
                <w:tab w:val="left" w:pos="4956"/>
                <w:tab w:val="left" w:pos="5664"/>
                <w:tab w:val="left" w:pos="6372"/>
                <w:tab w:val="left" w:pos="7080"/>
                <w:tab w:val="left" w:pos="7200"/>
              </w:tabs>
              <w:jc w:val="both"/>
              <w:rPr>
                <w:rFonts w:cs="Arial"/>
                <w:szCs w:val="24"/>
              </w:rPr>
            </w:pPr>
            <w:r w:rsidRPr="004D0638">
              <w:rPr>
                <w:rFonts w:eastAsia="Arial" w:cs="Arial"/>
                <w:szCs w:val="24"/>
              </w:rPr>
              <w:t>Quadros de execução orçamentária mensal e acumulada do uso de excedentes (abril, maio, junho e julho) - ISM</w:t>
            </w:r>
          </w:p>
        </w:tc>
      </w:tr>
      <w:tr w:rsidR="015AD2CD" w:rsidRPr="004D0638" w14:paraId="19314DFF" w14:textId="77777777" w:rsidTr="004D0638">
        <w:trPr>
          <w:trHeight w:val="360"/>
        </w:trPr>
        <w:tc>
          <w:tcPr>
            <w:tcW w:w="179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3B7EDDC3" w14:textId="398C34EB" w:rsidR="015AD2CD" w:rsidRPr="004D0638" w:rsidRDefault="015AD2CD" w:rsidP="004D0638">
            <w:pPr>
              <w:tabs>
                <w:tab w:val="left" w:pos="708"/>
                <w:tab w:val="left" w:pos="1416"/>
                <w:tab w:val="left" w:pos="1440"/>
              </w:tabs>
              <w:jc w:val="both"/>
              <w:rPr>
                <w:rFonts w:cs="Arial"/>
                <w:szCs w:val="24"/>
              </w:rPr>
            </w:pPr>
            <w:r w:rsidRPr="004D0638">
              <w:rPr>
                <w:rFonts w:eastAsia="Arial" w:cs="Arial"/>
                <w:b/>
                <w:bCs/>
                <w:color w:val="000000" w:themeColor="text1"/>
                <w:szCs w:val="24"/>
              </w:rPr>
              <w:t>Anexo XVIII</w:t>
            </w:r>
          </w:p>
        </w:tc>
        <w:tc>
          <w:tcPr>
            <w:tcW w:w="76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04A8B64B" w14:textId="3C106B70" w:rsidR="015AD2CD" w:rsidRPr="004D0638" w:rsidRDefault="015AD2CD" w:rsidP="004D0638">
            <w:pPr>
              <w:tabs>
                <w:tab w:val="left" w:pos="708"/>
                <w:tab w:val="left" w:pos="1416"/>
                <w:tab w:val="left" w:pos="2124"/>
                <w:tab w:val="left" w:pos="2832"/>
                <w:tab w:val="left" w:pos="3540"/>
                <w:tab w:val="left" w:pos="4248"/>
                <w:tab w:val="left" w:pos="4956"/>
                <w:tab w:val="left" w:pos="5664"/>
                <w:tab w:val="left" w:pos="6372"/>
                <w:tab w:val="left" w:pos="7080"/>
                <w:tab w:val="left" w:pos="7200"/>
              </w:tabs>
              <w:jc w:val="both"/>
              <w:rPr>
                <w:rFonts w:cs="Arial"/>
                <w:szCs w:val="24"/>
              </w:rPr>
            </w:pPr>
            <w:r w:rsidRPr="004D0638">
              <w:rPr>
                <w:rFonts w:eastAsia="Arial" w:cs="Arial"/>
                <w:szCs w:val="24"/>
              </w:rPr>
              <w:t>Contribuições dos Estados Partes ao ISM até 31 de julho de 2025</w:t>
            </w:r>
          </w:p>
        </w:tc>
      </w:tr>
      <w:tr w:rsidR="015AD2CD" w:rsidRPr="004D0638" w14:paraId="74C403DF" w14:textId="77777777" w:rsidTr="004D0638">
        <w:trPr>
          <w:trHeight w:val="360"/>
        </w:trPr>
        <w:tc>
          <w:tcPr>
            <w:tcW w:w="179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26A7F634" w14:textId="0BC271F4" w:rsidR="015AD2CD" w:rsidRPr="004D0638" w:rsidRDefault="015AD2CD" w:rsidP="004D0638">
            <w:pPr>
              <w:tabs>
                <w:tab w:val="left" w:pos="708"/>
                <w:tab w:val="left" w:pos="1416"/>
                <w:tab w:val="left" w:pos="1440"/>
              </w:tabs>
              <w:jc w:val="both"/>
              <w:rPr>
                <w:rFonts w:cs="Arial"/>
                <w:szCs w:val="24"/>
              </w:rPr>
            </w:pPr>
            <w:r w:rsidRPr="004D0638">
              <w:rPr>
                <w:rFonts w:eastAsia="Arial" w:cs="Arial"/>
                <w:b/>
                <w:bCs/>
                <w:color w:val="000000" w:themeColor="text1"/>
                <w:szCs w:val="24"/>
              </w:rPr>
              <w:t>Anexo XIX</w:t>
            </w:r>
          </w:p>
        </w:tc>
        <w:tc>
          <w:tcPr>
            <w:tcW w:w="76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48B0C46F" w14:textId="3A07505C" w:rsidR="015AD2CD" w:rsidRPr="004D0638" w:rsidRDefault="015AD2CD" w:rsidP="004D0638">
            <w:pPr>
              <w:tabs>
                <w:tab w:val="left" w:pos="708"/>
              </w:tabs>
              <w:jc w:val="both"/>
              <w:rPr>
                <w:rFonts w:cs="Arial"/>
                <w:szCs w:val="24"/>
              </w:rPr>
            </w:pPr>
            <w:r w:rsidRPr="004D0638">
              <w:rPr>
                <w:rFonts w:eastAsia="Arial" w:cs="Arial"/>
                <w:szCs w:val="24"/>
              </w:rPr>
              <w:t>Q</w:t>
            </w:r>
            <w:r w:rsidRPr="004D0638">
              <w:rPr>
                <w:rFonts w:eastAsia="Arial" w:cs="Arial"/>
                <w:color w:val="000000" w:themeColor="text1"/>
                <w:szCs w:val="24"/>
              </w:rPr>
              <w:t>uadros sobre o estado dos recursos excedentes anuais e sua utilização em 31 de julho de 2025 - ISM</w:t>
            </w:r>
          </w:p>
        </w:tc>
      </w:tr>
      <w:tr w:rsidR="015AD2CD" w:rsidRPr="004D0638" w14:paraId="46C86E56" w14:textId="77777777" w:rsidTr="004D0638">
        <w:trPr>
          <w:trHeight w:val="360"/>
        </w:trPr>
        <w:tc>
          <w:tcPr>
            <w:tcW w:w="179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53CC0ECB" w14:textId="60D2A3F0" w:rsidR="015AD2CD" w:rsidRPr="004D0638" w:rsidRDefault="015AD2CD" w:rsidP="004D0638">
            <w:pPr>
              <w:tabs>
                <w:tab w:val="left" w:pos="708"/>
                <w:tab w:val="left" w:pos="1416"/>
                <w:tab w:val="left" w:pos="1440"/>
              </w:tabs>
              <w:jc w:val="both"/>
              <w:rPr>
                <w:rFonts w:cs="Arial"/>
                <w:szCs w:val="24"/>
              </w:rPr>
            </w:pPr>
            <w:r w:rsidRPr="004D0638">
              <w:rPr>
                <w:rFonts w:eastAsia="Arial" w:cs="Arial"/>
                <w:b/>
                <w:bCs/>
                <w:szCs w:val="24"/>
              </w:rPr>
              <w:t>Anexo XX</w:t>
            </w:r>
          </w:p>
        </w:tc>
        <w:tc>
          <w:tcPr>
            <w:tcW w:w="76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1A5B98D9" w14:textId="5F921162" w:rsidR="015AD2CD" w:rsidRPr="004D0638" w:rsidRDefault="015AD2CD" w:rsidP="004D0638">
            <w:pPr>
              <w:tabs>
                <w:tab w:val="left" w:pos="708"/>
                <w:tab w:val="left" w:pos="1416"/>
                <w:tab w:val="left" w:pos="2124"/>
                <w:tab w:val="left" w:pos="2832"/>
                <w:tab w:val="left" w:pos="3540"/>
                <w:tab w:val="left" w:pos="4248"/>
                <w:tab w:val="left" w:pos="4956"/>
                <w:tab w:val="left" w:pos="5664"/>
                <w:tab w:val="left" w:pos="6372"/>
                <w:tab w:val="left" w:pos="7080"/>
                <w:tab w:val="left" w:pos="7200"/>
              </w:tabs>
              <w:jc w:val="both"/>
              <w:rPr>
                <w:rFonts w:cs="Arial"/>
                <w:szCs w:val="24"/>
              </w:rPr>
            </w:pPr>
            <w:r w:rsidRPr="004D0638">
              <w:rPr>
                <w:rFonts w:eastAsia="Arial" w:cs="Arial"/>
                <w:szCs w:val="24"/>
              </w:rPr>
              <w:t>Quadros do total de excedentes disponíveis nas contas bancárias em 31 de julho de 2025 - ISM</w:t>
            </w:r>
          </w:p>
        </w:tc>
      </w:tr>
      <w:tr w:rsidR="015AD2CD" w:rsidRPr="004D0638" w14:paraId="308B6A05" w14:textId="77777777" w:rsidTr="004D0638">
        <w:trPr>
          <w:trHeight w:val="360"/>
        </w:trPr>
        <w:tc>
          <w:tcPr>
            <w:tcW w:w="179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055C3B7A" w14:textId="04381440" w:rsidR="015AD2CD" w:rsidRPr="004D0638" w:rsidRDefault="015AD2CD" w:rsidP="004D0638">
            <w:pPr>
              <w:tabs>
                <w:tab w:val="left" w:pos="708"/>
                <w:tab w:val="left" w:pos="1416"/>
                <w:tab w:val="left" w:pos="1440"/>
              </w:tabs>
              <w:jc w:val="both"/>
              <w:rPr>
                <w:rFonts w:cs="Arial"/>
                <w:szCs w:val="24"/>
              </w:rPr>
            </w:pPr>
            <w:r w:rsidRPr="004D0638">
              <w:rPr>
                <w:rFonts w:eastAsia="Arial" w:cs="Arial"/>
                <w:b/>
                <w:bCs/>
                <w:color w:val="000000" w:themeColor="text1"/>
                <w:szCs w:val="24"/>
              </w:rPr>
              <w:t>Anexo XXI</w:t>
            </w:r>
          </w:p>
        </w:tc>
        <w:tc>
          <w:tcPr>
            <w:tcW w:w="76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12999BDC" w14:textId="40166741" w:rsidR="015AD2CD" w:rsidRPr="004D0638" w:rsidRDefault="015AD2CD" w:rsidP="004D0638">
            <w:pPr>
              <w:tabs>
                <w:tab w:val="left" w:pos="708"/>
                <w:tab w:val="left" w:pos="1416"/>
                <w:tab w:val="left" w:pos="2124"/>
                <w:tab w:val="left" w:pos="2832"/>
                <w:tab w:val="left" w:pos="3540"/>
                <w:tab w:val="left" w:pos="4248"/>
                <w:tab w:val="left" w:pos="4956"/>
                <w:tab w:val="left" w:pos="5664"/>
                <w:tab w:val="left" w:pos="6372"/>
                <w:tab w:val="left" w:pos="7080"/>
                <w:tab w:val="left" w:pos="7200"/>
              </w:tabs>
              <w:jc w:val="both"/>
              <w:rPr>
                <w:rFonts w:cs="Arial"/>
                <w:szCs w:val="24"/>
              </w:rPr>
            </w:pPr>
            <w:r w:rsidRPr="004D0638">
              <w:rPr>
                <w:rFonts w:eastAsia="Arial" w:cs="Arial"/>
                <w:color w:val="000000" w:themeColor="text1"/>
                <w:szCs w:val="24"/>
              </w:rPr>
              <w:t xml:space="preserve">Relatório de execução orçamentária entre o 1 de janeiro e o 30 de junho de 2025 </w:t>
            </w:r>
            <w:r w:rsidRPr="004D0638">
              <w:rPr>
                <w:rFonts w:eastAsia="Arial" w:cs="Arial"/>
                <w:szCs w:val="24"/>
              </w:rPr>
              <w:t>- IPPDH</w:t>
            </w:r>
          </w:p>
        </w:tc>
      </w:tr>
      <w:tr w:rsidR="015AD2CD" w:rsidRPr="004D0638" w14:paraId="358AE588" w14:textId="77777777" w:rsidTr="004D0638">
        <w:trPr>
          <w:trHeight w:val="360"/>
        </w:trPr>
        <w:tc>
          <w:tcPr>
            <w:tcW w:w="179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6FEF9BD1" w14:textId="52F7FEAE" w:rsidR="015AD2CD" w:rsidRPr="004D0638" w:rsidRDefault="015AD2CD" w:rsidP="004D0638">
            <w:pPr>
              <w:tabs>
                <w:tab w:val="left" w:pos="708"/>
                <w:tab w:val="left" w:pos="1416"/>
                <w:tab w:val="left" w:pos="1440"/>
              </w:tabs>
              <w:jc w:val="both"/>
              <w:rPr>
                <w:rFonts w:cs="Arial"/>
                <w:szCs w:val="24"/>
              </w:rPr>
            </w:pPr>
            <w:r w:rsidRPr="004D0638">
              <w:rPr>
                <w:rFonts w:eastAsia="Arial" w:cs="Arial"/>
                <w:b/>
                <w:bCs/>
                <w:color w:val="000000" w:themeColor="text1"/>
                <w:szCs w:val="24"/>
              </w:rPr>
              <w:t>Anexo XXII</w:t>
            </w:r>
          </w:p>
        </w:tc>
        <w:tc>
          <w:tcPr>
            <w:tcW w:w="76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24A15AA7" w14:textId="0027CD50" w:rsidR="015AD2CD" w:rsidRPr="004D0638" w:rsidRDefault="015AD2CD" w:rsidP="004D0638">
            <w:pPr>
              <w:tabs>
                <w:tab w:val="left" w:pos="426"/>
                <w:tab w:val="left" w:pos="1701"/>
                <w:tab w:val="center" w:pos="4252"/>
                <w:tab w:val="right" w:pos="8504"/>
                <w:tab w:val="left" w:pos="8520"/>
              </w:tabs>
              <w:jc w:val="both"/>
              <w:rPr>
                <w:rFonts w:cs="Arial"/>
                <w:szCs w:val="24"/>
              </w:rPr>
            </w:pPr>
            <w:r w:rsidRPr="004D0638">
              <w:rPr>
                <w:rFonts w:eastAsia="Arial" w:cs="Arial"/>
                <w:szCs w:val="24"/>
              </w:rPr>
              <w:t>Planilha de execução orçamentária mensal e acumulada do IPPDH até 30 de junho de 2025</w:t>
            </w:r>
          </w:p>
        </w:tc>
      </w:tr>
      <w:tr w:rsidR="015AD2CD" w:rsidRPr="004D0638" w14:paraId="0CCB1614" w14:textId="77777777" w:rsidTr="004D0638">
        <w:trPr>
          <w:trHeight w:val="360"/>
        </w:trPr>
        <w:tc>
          <w:tcPr>
            <w:tcW w:w="179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7F002934" w14:textId="6CD2ACCC" w:rsidR="015AD2CD" w:rsidRPr="004D0638" w:rsidRDefault="015AD2CD" w:rsidP="004D0638">
            <w:pPr>
              <w:tabs>
                <w:tab w:val="left" w:pos="708"/>
                <w:tab w:val="left" w:pos="1416"/>
                <w:tab w:val="left" w:pos="1440"/>
              </w:tabs>
              <w:jc w:val="both"/>
              <w:rPr>
                <w:rFonts w:cs="Arial"/>
                <w:szCs w:val="24"/>
              </w:rPr>
            </w:pPr>
            <w:r w:rsidRPr="004D0638">
              <w:rPr>
                <w:rFonts w:eastAsia="Arial" w:cs="Arial"/>
                <w:b/>
                <w:bCs/>
                <w:color w:val="000000" w:themeColor="text1"/>
                <w:szCs w:val="24"/>
              </w:rPr>
              <w:t>Anexo XXIII</w:t>
            </w:r>
          </w:p>
        </w:tc>
        <w:tc>
          <w:tcPr>
            <w:tcW w:w="76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73791FD9" w14:textId="6675D015" w:rsidR="015AD2CD" w:rsidRPr="004D0638" w:rsidRDefault="015AD2CD" w:rsidP="004D0638">
            <w:pPr>
              <w:tabs>
                <w:tab w:val="left" w:pos="426"/>
                <w:tab w:val="left" w:pos="1701"/>
                <w:tab w:val="center" w:pos="4252"/>
                <w:tab w:val="right" w:pos="8504"/>
                <w:tab w:val="left" w:pos="8520"/>
              </w:tabs>
              <w:jc w:val="both"/>
              <w:rPr>
                <w:rFonts w:cs="Arial"/>
                <w:szCs w:val="24"/>
              </w:rPr>
            </w:pPr>
            <w:r w:rsidRPr="004D0638">
              <w:rPr>
                <w:rFonts w:eastAsia="Arial" w:cs="Arial"/>
                <w:color w:val="000000" w:themeColor="text1"/>
                <w:szCs w:val="24"/>
              </w:rPr>
              <w:t>Contribuições dos Estados Partes ao IPPDH até 30 de junho de 2025</w:t>
            </w:r>
          </w:p>
        </w:tc>
      </w:tr>
      <w:tr w:rsidR="015AD2CD" w:rsidRPr="004D0638" w14:paraId="4919C1E1" w14:textId="77777777" w:rsidTr="004D0638">
        <w:trPr>
          <w:trHeight w:val="360"/>
        </w:trPr>
        <w:tc>
          <w:tcPr>
            <w:tcW w:w="179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64E88182" w14:textId="63D2FCBC" w:rsidR="015AD2CD" w:rsidRPr="004D0638" w:rsidRDefault="015AD2CD" w:rsidP="004D0638">
            <w:pPr>
              <w:tabs>
                <w:tab w:val="left" w:pos="708"/>
                <w:tab w:val="left" w:pos="1416"/>
                <w:tab w:val="left" w:pos="1440"/>
              </w:tabs>
              <w:jc w:val="both"/>
              <w:rPr>
                <w:rFonts w:cs="Arial"/>
                <w:szCs w:val="24"/>
              </w:rPr>
            </w:pPr>
            <w:r w:rsidRPr="004D0638">
              <w:rPr>
                <w:rFonts w:eastAsia="Arial" w:cs="Arial"/>
                <w:b/>
                <w:bCs/>
                <w:color w:val="000000" w:themeColor="text1"/>
                <w:szCs w:val="24"/>
              </w:rPr>
              <w:t>Anexo XXIV</w:t>
            </w:r>
          </w:p>
        </w:tc>
        <w:tc>
          <w:tcPr>
            <w:tcW w:w="76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7F90D6F1" w14:textId="11A5516B" w:rsidR="015AD2CD" w:rsidRPr="004D0638" w:rsidRDefault="015AD2CD" w:rsidP="004D0638">
            <w:pPr>
              <w:tabs>
                <w:tab w:val="left" w:pos="426"/>
                <w:tab w:val="left" w:pos="1701"/>
                <w:tab w:val="center" w:pos="4252"/>
                <w:tab w:val="right" w:pos="8504"/>
                <w:tab w:val="left" w:pos="8520"/>
              </w:tabs>
              <w:jc w:val="both"/>
              <w:rPr>
                <w:rFonts w:cs="Arial"/>
                <w:szCs w:val="24"/>
              </w:rPr>
            </w:pPr>
            <w:r w:rsidRPr="004D0638">
              <w:rPr>
                <w:rFonts w:eastAsia="Arial" w:cs="Arial"/>
                <w:color w:val="000000" w:themeColor="text1"/>
                <w:szCs w:val="24"/>
              </w:rPr>
              <w:t>Quadros sobre o estado dos recursos excedentes anuais e sua utilização até 30 de junho de 2025 - IPPDH</w:t>
            </w:r>
          </w:p>
        </w:tc>
      </w:tr>
      <w:tr w:rsidR="015AD2CD" w:rsidRPr="004D0638" w14:paraId="39095AFA" w14:textId="77777777" w:rsidTr="004D0638">
        <w:trPr>
          <w:trHeight w:val="690"/>
        </w:trPr>
        <w:tc>
          <w:tcPr>
            <w:tcW w:w="179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6C2B57FD" w14:textId="346E6B7F" w:rsidR="015AD2CD" w:rsidRPr="004D0638" w:rsidRDefault="015AD2CD" w:rsidP="004D0638">
            <w:pPr>
              <w:tabs>
                <w:tab w:val="left" w:pos="708"/>
                <w:tab w:val="left" w:pos="1416"/>
                <w:tab w:val="left" w:pos="1440"/>
              </w:tabs>
              <w:jc w:val="both"/>
              <w:rPr>
                <w:rFonts w:cs="Arial"/>
                <w:szCs w:val="24"/>
              </w:rPr>
            </w:pPr>
            <w:r w:rsidRPr="004D0638">
              <w:rPr>
                <w:rFonts w:eastAsia="Arial" w:cs="Arial"/>
                <w:b/>
                <w:bCs/>
                <w:color w:val="000000" w:themeColor="text1"/>
                <w:szCs w:val="24"/>
              </w:rPr>
              <w:t>Anexo XXV</w:t>
            </w:r>
          </w:p>
        </w:tc>
        <w:tc>
          <w:tcPr>
            <w:tcW w:w="76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09A9216F" w14:textId="085B28AF" w:rsidR="015AD2CD" w:rsidRPr="004D0638" w:rsidRDefault="015AD2CD" w:rsidP="004D0638">
            <w:pPr>
              <w:tabs>
                <w:tab w:val="left" w:pos="426"/>
                <w:tab w:val="left" w:pos="1701"/>
                <w:tab w:val="center" w:pos="4252"/>
                <w:tab w:val="right" w:pos="8504"/>
                <w:tab w:val="left" w:pos="8520"/>
              </w:tabs>
              <w:jc w:val="both"/>
              <w:rPr>
                <w:rFonts w:cs="Arial"/>
                <w:szCs w:val="24"/>
              </w:rPr>
            </w:pPr>
            <w:r w:rsidRPr="004D0638">
              <w:rPr>
                <w:rFonts w:eastAsia="Arial" w:cs="Arial"/>
                <w:szCs w:val="24"/>
              </w:rPr>
              <w:t>Quadros do total de excedentes disponíveis nas contas bancárias em 30 de junho de 2025 - IPPDH</w:t>
            </w:r>
          </w:p>
        </w:tc>
      </w:tr>
    </w:tbl>
    <w:p w14:paraId="6CF48673" w14:textId="77777777" w:rsidR="004D0638" w:rsidRDefault="004D0638">
      <w:r>
        <w:br w:type="page"/>
      </w:r>
    </w:p>
    <w:tbl>
      <w:tblPr>
        <w:tblStyle w:val="Tablaconcuadrcula"/>
        <w:tblW w:w="0" w:type="auto"/>
        <w:tblInd w:w="-285" w:type="dxa"/>
        <w:tblLayout w:type="fixed"/>
        <w:tblLook w:val="04A0" w:firstRow="1" w:lastRow="0" w:firstColumn="1" w:lastColumn="0" w:noHBand="0" w:noVBand="1"/>
      </w:tblPr>
      <w:tblGrid>
        <w:gridCol w:w="295"/>
        <w:gridCol w:w="1790"/>
        <w:gridCol w:w="2854"/>
        <w:gridCol w:w="4826"/>
        <w:gridCol w:w="721"/>
      </w:tblGrid>
      <w:tr w:rsidR="015AD2CD" w:rsidRPr="004D0638" w14:paraId="21F46EA4" w14:textId="77777777" w:rsidTr="004D0638">
        <w:trPr>
          <w:gridBefore w:val="1"/>
          <w:gridAfter w:val="1"/>
          <w:wBefore w:w="295" w:type="dxa"/>
          <w:wAfter w:w="721" w:type="dxa"/>
          <w:trHeight w:val="477"/>
        </w:trPr>
        <w:tc>
          <w:tcPr>
            <w:tcW w:w="179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5E7615C0" w14:textId="7BA7BC6C" w:rsidR="015AD2CD" w:rsidRPr="004D0638" w:rsidRDefault="015AD2CD" w:rsidP="004D0638">
            <w:pPr>
              <w:tabs>
                <w:tab w:val="left" w:pos="708"/>
                <w:tab w:val="left" w:pos="1416"/>
                <w:tab w:val="left" w:pos="1440"/>
              </w:tabs>
              <w:jc w:val="both"/>
              <w:rPr>
                <w:rFonts w:cs="Arial"/>
                <w:szCs w:val="24"/>
              </w:rPr>
            </w:pPr>
            <w:r w:rsidRPr="004D0638">
              <w:rPr>
                <w:rFonts w:eastAsia="Arial" w:cs="Arial"/>
                <w:b/>
                <w:bCs/>
                <w:color w:val="000000" w:themeColor="text1"/>
                <w:szCs w:val="24"/>
              </w:rPr>
              <w:lastRenderedPageBreak/>
              <w:t>Anexo XXVI</w:t>
            </w:r>
          </w:p>
        </w:tc>
        <w:tc>
          <w:tcPr>
            <w:tcW w:w="768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5C2E5565" w14:textId="7DBA0AAC" w:rsidR="015AD2CD" w:rsidRPr="004D0638" w:rsidRDefault="015AD2CD" w:rsidP="004D0638">
            <w:pPr>
              <w:tabs>
                <w:tab w:val="left" w:pos="426"/>
                <w:tab w:val="left" w:pos="1701"/>
                <w:tab w:val="center" w:pos="4252"/>
                <w:tab w:val="right" w:pos="8504"/>
                <w:tab w:val="left" w:pos="8520"/>
              </w:tabs>
              <w:jc w:val="both"/>
              <w:rPr>
                <w:rFonts w:cs="Arial"/>
                <w:szCs w:val="24"/>
              </w:rPr>
            </w:pPr>
            <w:r w:rsidRPr="004D0638">
              <w:rPr>
                <w:rFonts w:eastAsia="Arial" w:cs="Arial"/>
                <w:szCs w:val="24"/>
              </w:rPr>
              <w:t>Modelo de apresentação de anteprojeto de orçamento - Argentina</w:t>
            </w:r>
          </w:p>
        </w:tc>
      </w:tr>
      <w:tr w:rsidR="015AD2CD" w:rsidRPr="004D0638" w14:paraId="51CEBC92" w14:textId="77777777" w:rsidTr="00A74B30">
        <w:trPr>
          <w:trHeight w:val="3075"/>
        </w:trPr>
        <w:tc>
          <w:tcPr>
            <w:tcW w:w="4939" w:type="dxa"/>
            <w:gridSpan w:val="3"/>
            <w:tcBorders>
              <w:top w:val="nil"/>
              <w:left w:val="nil"/>
              <w:bottom w:val="nil"/>
              <w:right w:val="nil"/>
            </w:tcBorders>
            <w:tcMar>
              <w:top w:w="80" w:type="dxa"/>
              <w:left w:w="80" w:type="dxa"/>
              <w:bottom w:w="80" w:type="dxa"/>
              <w:right w:w="80" w:type="dxa"/>
            </w:tcMar>
          </w:tcPr>
          <w:p w14:paraId="048E6F8C" w14:textId="7775B38A" w:rsidR="015AD2CD" w:rsidRPr="004D0638" w:rsidRDefault="015AD2CD" w:rsidP="004D0638">
            <w:pPr>
              <w:tabs>
                <w:tab w:val="left" w:pos="1418"/>
                <w:tab w:val="right" w:pos="8478"/>
              </w:tabs>
              <w:rPr>
                <w:rFonts w:cs="Arial"/>
                <w:szCs w:val="24"/>
              </w:rPr>
            </w:pPr>
            <w:r w:rsidRPr="004D0638">
              <w:rPr>
                <w:rFonts w:eastAsia="Arial" w:cs="Arial"/>
                <w:color w:val="000000" w:themeColor="text1"/>
                <w:szCs w:val="24"/>
              </w:rPr>
              <w:t xml:space="preserve"> </w:t>
            </w:r>
          </w:p>
          <w:p w14:paraId="0D4B49CF" w14:textId="537F12FB" w:rsidR="015AD2CD" w:rsidRPr="004D0638" w:rsidRDefault="015AD2CD" w:rsidP="004D0638">
            <w:pPr>
              <w:tabs>
                <w:tab w:val="left" w:pos="1418"/>
                <w:tab w:val="right" w:pos="8478"/>
              </w:tabs>
              <w:rPr>
                <w:rFonts w:cs="Arial"/>
                <w:szCs w:val="24"/>
              </w:rPr>
            </w:pPr>
            <w:r w:rsidRPr="004D0638">
              <w:rPr>
                <w:rFonts w:eastAsia="Arial" w:cs="Arial"/>
                <w:color w:val="000000" w:themeColor="text1"/>
                <w:szCs w:val="24"/>
              </w:rPr>
              <w:t xml:space="preserve"> </w:t>
            </w:r>
          </w:p>
          <w:p w14:paraId="388CA54A" w14:textId="013BDB37" w:rsidR="015AD2CD" w:rsidRPr="004D0638" w:rsidRDefault="015AD2CD" w:rsidP="004D0638">
            <w:pPr>
              <w:tabs>
                <w:tab w:val="left" w:pos="1418"/>
                <w:tab w:val="right" w:pos="8478"/>
              </w:tabs>
              <w:jc w:val="center"/>
              <w:rPr>
                <w:rFonts w:cs="Arial"/>
                <w:szCs w:val="24"/>
              </w:rPr>
            </w:pPr>
            <w:r w:rsidRPr="004D0638">
              <w:rPr>
                <w:rFonts w:eastAsia="Arial" w:cs="Arial"/>
                <w:color w:val="000000" w:themeColor="text1"/>
                <w:szCs w:val="24"/>
              </w:rPr>
              <w:t xml:space="preserve"> </w:t>
            </w:r>
          </w:p>
          <w:p w14:paraId="69F0CEDA" w14:textId="3D3FDC8C" w:rsidR="015AD2CD" w:rsidRPr="004D0638" w:rsidRDefault="015AD2CD" w:rsidP="004D0638">
            <w:pPr>
              <w:tabs>
                <w:tab w:val="left" w:pos="1418"/>
                <w:tab w:val="right" w:pos="8478"/>
              </w:tabs>
              <w:jc w:val="center"/>
              <w:rPr>
                <w:rFonts w:cs="Arial"/>
                <w:szCs w:val="24"/>
              </w:rPr>
            </w:pPr>
            <w:r w:rsidRPr="004D0638">
              <w:rPr>
                <w:rFonts w:eastAsia="Arial" w:cs="Arial"/>
                <w:color w:val="000000" w:themeColor="text1"/>
                <w:szCs w:val="24"/>
              </w:rPr>
              <w:t xml:space="preserve"> </w:t>
            </w:r>
          </w:p>
          <w:p w14:paraId="33D62FDD" w14:textId="754A0F7E" w:rsidR="015AD2CD" w:rsidRPr="004D0638" w:rsidRDefault="015AD2CD" w:rsidP="004D0638">
            <w:pPr>
              <w:tabs>
                <w:tab w:val="left" w:pos="1418"/>
                <w:tab w:val="right" w:pos="8478"/>
              </w:tabs>
              <w:jc w:val="center"/>
              <w:rPr>
                <w:rFonts w:cs="Arial"/>
                <w:szCs w:val="24"/>
              </w:rPr>
            </w:pPr>
            <w:r w:rsidRPr="004D0638">
              <w:rPr>
                <w:rFonts w:eastAsia="Arial" w:cs="Arial"/>
                <w:color w:val="000000" w:themeColor="text1"/>
                <w:szCs w:val="24"/>
              </w:rPr>
              <w:t xml:space="preserve"> </w:t>
            </w:r>
          </w:p>
          <w:p w14:paraId="6267DD2E" w14:textId="4C39D6B7" w:rsidR="015AD2CD" w:rsidRPr="004D0638" w:rsidRDefault="015AD2CD" w:rsidP="004D0638">
            <w:pPr>
              <w:tabs>
                <w:tab w:val="left" w:pos="1418"/>
                <w:tab w:val="right" w:pos="8478"/>
              </w:tabs>
              <w:jc w:val="center"/>
              <w:rPr>
                <w:rFonts w:cs="Arial"/>
                <w:szCs w:val="24"/>
              </w:rPr>
            </w:pPr>
            <w:r w:rsidRPr="004D0638">
              <w:rPr>
                <w:rFonts w:eastAsia="Arial" w:cs="Arial"/>
                <w:b/>
                <w:bCs/>
                <w:color w:val="000000" w:themeColor="text1"/>
                <w:szCs w:val="24"/>
              </w:rPr>
              <w:t>_______________________________</w:t>
            </w:r>
          </w:p>
          <w:p w14:paraId="6CAE768A" w14:textId="3853214F" w:rsidR="015AD2CD" w:rsidRPr="004D0638" w:rsidRDefault="015AD2CD" w:rsidP="004D0638">
            <w:pPr>
              <w:tabs>
                <w:tab w:val="left" w:pos="708"/>
                <w:tab w:val="left" w:pos="1416"/>
                <w:tab w:val="left" w:pos="2124"/>
                <w:tab w:val="left" w:pos="2832"/>
                <w:tab w:val="left" w:pos="3540"/>
                <w:tab w:val="left" w:pos="4248"/>
                <w:tab w:val="left" w:pos="4320"/>
              </w:tabs>
              <w:jc w:val="center"/>
              <w:rPr>
                <w:rFonts w:cs="Arial"/>
                <w:szCs w:val="24"/>
              </w:rPr>
            </w:pPr>
            <w:r w:rsidRPr="004D0638">
              <w:rPr>
                <w:rFonts w:eastAsia="Arial" w:cs="Arial"/>
                <w:b/>
                <w:bCs/>
                <w:color w:val="000000" w:themeColor="text1"/>
                <w:szCs w:val="24"/>
              </w:rPr>
              <w:t>Pela delegação da Argentina</w:t>
            </w:r>
          </w:p>
          <w:p w14:paraId="335A92E9" w14:textId="7F20A056" w:rsidR="015AD2CD" w:rsidRPr="004D0638" w:rsidRDefault="015AD2CD" w:rsidP="004D0638">
            <w:pPr>
              <w:tabs>
                <w:tab w:val="left" w:pos="3015"/>
                <w:tab w:val="left" w:pos="3540"/>
                <w:tab w:val="left" w:pos="4248"/>
                <w:tab w:val="left" w:pos="4320"/>
              </w:tabs>
              <w:jc w:val="center"/>
              <w:rPr>
                <w:rFonts w:cs="Arial"/>
                <w:szCs w:val="24"/>
              </w:rPr>
            </w:pPr>
            <w:r w:rsidRPr="004D0638">
              <w:rPr>
                <w:rFonts w:eastAsia="Arial" w:cs="Arial"/>
                <w:szCs w:val="24"/>
              </w:rPr>
              <w:t xml:space="preserve">Rubén </w:t>
            </w:r>
            <w:proofErr w:type="spellStart"/>
            <w:r w:rsidRPr="004D0638">
              <w:rPr>
                <w:rFonts w:eastAsia="Arial" w:cs="Arial"/>
                <w:szCs w:val="24"/>
              </w:rPr>
              <w:t>Ruffi</w:t>
            </w:r>
            <w:proofErr w:type="spellEnd"/>
          </w:p>
        </w:tc>
        <w:tc>
          <w:tcPr>
            <w:tcW w:w="5547" w:type="dxa"/>
            <w:gridSpan w:val="2"/>
            <w:tcBorders>
              <w:top w:val="nil"/>
              <w:left w:val="nil"/>
              <w:bottom w:val="nil"/>
              <w:right w:val="nil"/>
            </w:tcBorders>
            <w:tcMar>
              <w:top w:w="80" w:type="dxa"/>
              <w:left w:w="80" w:type="dxa"/>
              <w:bottom w:w="80" w:type="dxa"/>
              <w:right w:w="80" w:type="dxa"/>
            </w:tcMar>
          </w:tcPr>
          <w:p w14:paraId="76C81E21" w14:textId="1427740E" w:rsidR="015AD2CD" w:rsidRPr="004D0638" w:rsidRDefault="015AD2CD" w:rsidP="004D0638">
            <w:pPr>
              <w:tabs>
                <w:tab w:val="left" w:pos="1418"/>
                <w:tab w:val="right" w:pos="8478"/>
              </w:tabs>
              <w:jc w:val="center"/>
              <w:rPr>
                <w:rFonts w:cs="Arial"/>
                <w:szCs w:val="24"/>
              </w:rPr>
            </w:pPr>
            <w:r w:rsidRPr="004D0638">
              <w:rPr>
                <w:rFonts w:eastAsia="Arial" w:cs="Arial"/>
                <w:b/>
                <w:bCs/>
                <w:color w:val="000000" w:themeColor="text1"/>
                <w:szCs w:val="24"/>
              </w:rPr>
              <w:t xml:space="preserve"> </w:t>
            </w:r>
          </w:p>
          <w:p w14:paraId="683E79AC" w14:textId="58D08BA8" w:rsidR="015AD2CD" w:rsidRPr="004D0638" w:rsidRDefault="015AD2CD" w:rsidP="004D0638">
            <w:pPr>
              <w:tabs>
                <w:tab w:val="left" w:pos="1418"/>
                <w:tab w:val="right" w:pos="8478"/>
              </w:tabs>
              <w:jc w:val="center"/>
              <w:rPr>
                <w:rFonts w:cs="Arial"/>
                <w:szCs w:val="24"/>
              </w:rPr>
            </w:pPr>
            <w:r w:rsidRPr="004D0638">
              <w:rPr>
                <w:rFonts w:eastAsia="Arial" w:cs="Arial"/>
                <w:b/>
                <w:bCs/>
                <w:color w:val="000000" w:themeColor="text1"/>
                <w:szCs w:val="24"/>
              </w:rPr>
              <w:t xml:space="preserve"> </w:t>
            </w:r>
          </w:p>
          <w:p w14:paraId="71766A58" w14:textId="40448C68" w:rsidR="015AD2CD" w:rsidRPr="004D0638" w:rsidRDefault="015AD2CD" w:rsidP="004D0638">
            <w:pPr>
              <w:tabs>
                <w:tab w:val="left" w:pos="1418"/>
                <w:tab w:val="right" w:pos="8478"/>
              </w:tabs>
              <w:jc w:val="center"/>
              <w:rPr>
                <w:rFonts w:cs="Arial"/>
                <w:szCs w:val="24"/>
              </w:rPr>
            </w:pPr>
            <w:r w:rsidRPr="004D0638">
              <w:rPr>
                <w:rFonts w:eastAsia="Arial" w:cs="Arial"/>
                <w:b/>
                <w:bCs/>
                <w:color w:val="000000" w:themeColor="text1"/>
                <w:szCs w:val="24"/>
              </w:rPr>
              <w:t xml:space="preserve"> </w:t>
            </w:r>
          </w:p>
          <w:p w14:paraId="492FDB6D" w14:textId="36862A3F" w:rsidR="015AD2CD" w:rsidRPr="004D0638" w:rsidRDefault="015AD2CD" w:rsidP="004D0638">
            <w:pPr>
              <w:tabs>
                <w:tab w:val="left" w:pos="1418"/>
                <w:tab w:val="right" w:pos="8478"/>
              </w:tabs>
              <w:jc w:val="center"/>
              <w:rPr>
                <w:rFonts w:cs="Arial"/>
                <w:szCs w:val="24"/>
              </w:rPr>
            </w:pPr>
            <w:r w:rsidRPr="004D0638">
              <w:rPr>
                <w:rFonts w:eastAsia="Arial" w:cs="Arial"/>
                <w:b/>
                <w:bCs/>
                <w:color w:val="000000" w:themeColor="text1"/>
                <w:szCs w:val="24"/>
              </w:rPr>
              <w:t xml:space="preserve"> </w:t>
            </w:r>
          </w:p>
          <w:p w14:paraId="680427C9" w14:textId="20C9AC2D" w:rsidR="015AD2CD" w:rsidRPr="004D0638" w:rsidRDefault="015AD2CD" w:rsidP="004D0638">
            <w:pPr>
              <w:tabs>
                <w:tab w:val="left" w:pos="1418"/>
                <w:tab w:val="right" w:pos="8478"/>
              </w:tabs>
              <w:jc w:val="center"/>
              <w:rPr>
                <w:rFonts w:cs="Arial"/>
                <w:szCs w:val="24"/>
              </w:rPr>
            </w:pPr>
            <w:r w:rsidRPr="004D0638">
              <w:rPr>
                <w:rFonts w:eastAsia="Arial" w:cs="Arial"/>
                <w:b/>
                <w:bCs/>
                <w:color w:val="000000" w:themeColor="text1"/>
                <w:szCs w:val="24"/>
              </w:rPr>
              <w:t xml:space="preserve"> </w:t>
            </w:r>
          </w:p>
          <w:p w14:paraId="4977702D" w14:textId="000529D9" w:rsidR="015AD2CD" w:rsidRPr="004D0638" w:rsidRDefault="015AD2CD" w:rsidP="004D0638">
            <w:pPr>
              <w:tabs>
                <w:tab w:val="left" w:pos="1418"/>
                <w:tab w:val="right" w:pos="8478"/>
              </w:tabs>
              <w:jc w:val="center"/>
              <w:rPr>
                <w:rFonts w:cs="Arial"/>
                <w:szCs w:val="24"/>
              </w:rPr>
            </w:pPr>
            <w:r w:rsidRPr="004D0638">
              <w:rPr>
                <w:rFonts w:eastAsia="Arial" w:cs="Arial"/>
                <w:b/>
                <w:bCs/>
                <w:color w:val="000000" w:themeColor="text1"/>
                <w:szCs w:val="24"/>
              </w:rPr>
              <w:t>____________________________</w:t>
            </w:r>
          </w:p>
          <w:p w14:paraId="645D828A" w14:textId="0FA16F65" w:rsidR="015AD2CD" w:rsidRPr="004D0638" w:rsidRDefault="015AD2CD" w:rsidP="004D0638">
            <w:pPr>
              <w:tabs>
                <w:tab w:val="left" w:pos="708"/>
                <w:tab w:val="left" w:pos="1416"/>
                <w:tab w:val="left" w:pos="2124"/>
                <w:tab w:val="left" w:pos="2832"/>
                <w:tab w:val="left" w:pos="3540"/>
                <w:tab w:val="left" w:pos="4248"/>
                <w:tab w:val="left" w:pos="4320"/>
              </w:tabs>
              <w:jc w:val="center"/>
              <w:rPr>
                <w:rFonts w:cs="Arial"/>
                <w:szCs w:val="24"/>
              </w:rPr>
            </w:pPr>
            <w:r w:rsidRPr="004D0638">
              <w:rPr>
                <w:rFonts w:eastAsia="Arial" w:cs="Arial"/>
                <w:b/>
                <w:bCs/>
                <w:color w:val="000000" w:themeColor="text1"/>
                <w:szCs w:val="24"/>
              </w:rPr>
              <w:t>Pela delegação do Brasil</w:t>
            </w:r>
          </w:p>
          <w:p w14:paraId="712A06C9" w14:textId="29CD7C7D" w:rsidR="015AD2CD" w:rsidRPr="004D0638" w:rsidRDefault="015AD2CD" w:rsidP="004D0638">
            <w:pPr>
              <w:tabs>
                <w:tab w:val="left" w:pos="1418"/>
                <w:tab w:val="right" w:pos="8478"/>
              </w:tabs>
              <w:jc w:val="center"/>
              <w:rPr>
                <w:rFonts w:cs="Arial"/>
                <w:szCs w:val="24"/>
              </w:rPr>
            </w:pPr>
            <w:r w:rsidRPr="004D0638">
              <w:rPr>
                <w:rFonts w:eastAsia="Arial" w:cs="Arial"/>
                <w:szCs w:val="24"/>
              </w:rPr>
              <w:t>Rodrigo Morais</w:t>
            </w:r>
          </w:p>
        </w:tc>
      </w:tr>
      <w:tr w:rsidR="015AD2CD" w:rsidRPr="004D0638" w14:paraId="315E7A83" w14:textId="77777777" w:rsidTr="00A74B30">
        <w:trPr>
          <w:trHeight w:val="2505"/>
        </w:trPr>
        <w:tc>
          <w:tcPr>
            <w:tcW w:w="4939" w:type="dxa"/>
            <w:gridSpan w:val="3"/>
            <w:tcBorders>
              <w:top w:val="nil"/>
              <w:left w:val="nil"/>
              <w:bottom w:val="nil"/>
              <w:right w:val="nil"/>
            </w:tcBorders>
            <w:tcMar>
              <w:top w:w="80" w:type="dxa"/>
              <w:left w:w="80" w:type="dxa"/>
              <w:bottom w:w="80" w:type="dxa"/>
              <w:right w:w="80" w:type="dxa"/>
            </w:tcMar>
          </w:tcPr>
          <w:p w14:paraId="12893700" w14:textId="1E055725" w:rsidR="015AD2CD" w:rsidRPr="004D0638" w:rsidRDefault="015AD2CD" w:rsidP="004D0638">
            <w:pPr>
              <w:tabs>
                <w:tab w:val="left" w:pos="1418"/>
                <w:tab w:val="right" w:pos="8478"/>
              </w:tabs>
              <w:jc w:val="center"/>
              <w:rPr>
                <w:rFonts w:cs="Arial"/>
                <w:szCs w:val="24"/>
              </w:rPr>
            </w:pPr>
            <w:r w:rsidRPr="004D0638">
              <w:rPr>
                <w:rFonts w:eastAsia="Arial" w:cs="Arial"/>
                <w:color w:val="000000" w:themeColor="text1"/>
                <w:szCs w:val="24"/>
              </w:rPr>
              <w:t xml:space="preserve"> </w:t>
            </w:r>
          </w:p>
          <w:p w14:paraId="3490FB7E" w14:textId="6300B8D1" w:rsidR="015AD2CD" w:rsidRPr="004D0638" w:rsidRDefault="015AD2CD" w:rsidP="004D0638">
            <w:pPr>
              <w:tabs>
                <w:tab w:val="left" w:pos="1418"/>
                <w:tab w:val="right" w:pos="8478"/>
              </w:tabs>
              <w:jc w:val="center"/>
              <w:rPr>
                <w:rFonts w:cs="Arial"/>
                <w:szCs w:val="24"/>
              </w:rPr>
            </w:pPr>
            <w:r w:rsidRPr="004D0638">
              <w:rPr>
                <w:rFonts w:eastAsia="Arial" w:cs="Arial"/>
                <w:color w:val="000000" w:themeColor="text1"/>
                <w:szCs w:val="24"/>
              </w:rPr>
              <w:t xml:space="preserve"> </w:t>
            </w:r>
          </w:p>
          <w:p w14:paraId="3C86A53A" w14:textId="227D0EFB" w:rsidR="015AD2CD" w:rsidRPr="004D0638" w:rsidRDefault="015AD2CD" w:rsidP="004D0638">
            <w:pPr>
              <w:tabs>
                <w:tab w:val="left" w:pos="1418"/>
                <w:tab w:val="right" w:pos="8478"/>
              </w:tabs>
              <w:jc w:val="center"/>
              <w:rPr>
                <w:rFonts w:cs="Arial"/>
                <w:szCs w:val="24"/>
              </w:rPr>
            </w:pPr>
            <w:r w:rsidRPr="004D0638">
              <w:rPr>
                <w:rFonts w:eastAsia="Arial" w:cs="Arial"/>
                <w:color w:val="000000" w:themeColor="text1"/>
                <w:szCs w:val="24"/>
              </w:rPr>
              <w:t xml:space="preserve"> </w:t>
            </w:r>
          </w:p>
          <w:p w14:paraId="72F77ECC" w14:textId="5F48D418" w:rsidR="015AD2CD" w:rsidRPr="004D0638" w:rsidRDefault="015AD2CD" w:rsidP="004D0638">
            <w:pPr>
              <w:tabs>
                <w:tab w:val="left" w:pos="1418"/>
                <w:tab w:val="right" w:pos="8478"/>
              </w:tabs>
              <w:jc w:val="center"/>
              <w:rPr>
                <w:rFonts w:cs="Arial"/>
                <w:szCs w:val="24"/>
              </w:rPr>
            </w:pPr>
            <w:r w:rsidRPr="004D0638">
              <w:rPr>
                <w:rFonts w:eastAsia="Arial" w:cs="Arial"/>
                <w:b/>
                <w:bCs/>
                <w:color w:val="000000" w:themeColor="text1"/>
                <w:szCs w:val="24"/>
              </w:rPr>
              <w:t>_______________________________</w:t>
            </w:r>
          </w:p>
          <w:p w14:paraId="0504F282" w14:textId="396E39EC" w:rsidR="015AD2CD" w:rsidRPr="004D0638" w:rsidRDefault="015AD2CD" w:rsidP="004D0638">
            <w:pPr>
              <w:tabs>
                <w:tab w:val="left" w:pos="708"/>
                <w:tab w:val="left" w:pos="1416"/>
                <w:tab w:val="left" w:pos="2124"/>
                <w:tab w:val="left" w:pos="2832"/>
                <w:tab w:val="left" w:pos="3540"/>
                <w:tab w:val="left" w:pos="4248"/>
                <w:tab w:val="left" w:pos="4320"/>
              </w:tabs>
              <w:jc w:val="center"/>
              <w:rPr>
                <w:rFonts w:cs="Arial"/>
                <w:szCs w:val="24"/>
              </w:rPr>
            </w:pPr>
            <w:r w:rsidRPr="004D0638">
              <w:rPr>
                <w:rFonts w:eastAsia="Arial" w:cs="Arial"/>
                <w:b/>
                <w:bCs/>
                <w:color w:val="000000" w:themeColor="text1"/>
                <w:szCs w:val="24"/>
              </w:rPr>
              <w:t>Pela delegação do Paraguai</w:t>
            </w:r>
          </w:p>
          <w:p w14:paraId="5B89D354" w14:textId="75CF7CE2" w:rsidR="015AD2CD" w:rsidRPr="004D0638" w:rsidRDefault="015AD2CD" w:rsidP="004D0638">
            <w:pPr>
              <w:tabs>
                <w:tab w:val="left" w:pos="1418"/>
                <w:tab w:val="right" w:pos="8478"/>
              </w:tabs>
              <w:jc w:val="center"/>
              <w:rPr>
                <w:rFonts w:cs="Arial"/>
                <w:szCs w:val="24"/>
              </w:rPr>
            </w:pPr>
            <w:r w:rsidRPr="004D0638">
              <w:rPr>
                <w:rFonts w:eastAsia="Arial" w:cs="Arial"/>
                <w:szCs w:val="24"/>
              </w:rPr>
              <w:t>Carmen Céspedes</w:t>
            </w:r>
          </w:p>
        </w:tc>
        <w:tc>
          <w:tcPr>
            <w:tcW w:w="5547" w:type="dxa"/>
            <w:gridSpan w:val="2"/>
            <w:tcBorders>
              <w:top w:val="nil"/>
              <w:left w:val="nil"/>
              <w:bottom w:val="nil"/>
              <w:right w:val="nil"/>
            </w:tcBorders>
            <w:tcMar>
              <w:top w:w="80" w:type="dxa"/>
              <w:left w:w="80" w:type="dxa"/>
              <w:bottom w:w="80" w:type="dxa"/>
              <w:right w:w="80" w:type="dxa"/>
            </w:tcMar>
          </w:tcPr>
          <w:p w14:paraId="7C3CC8AB" w14:textId="6062DEB5" w:rsidR="015AD2CD" w:rsidRPr="004D0638" w:rsidRDefault="015AD2CD" w:rsidP="004D0638">
            <w:pPr>
              <w:tabs>
                <w:tab w:val="left" w:pos="1418"/>
                <w:tab w:val="right" w:pos="8478"/>
              </w:tabs>
              <w:jc w:val="center"/>
              <w:rPr>
                <w:rFonts w:cs="Arial"/>
                <w:szCs w:val="24"/>
              </w:rPr>
            </w:pPr>
            <w:r w:rsidRPr="004D0638">
              <w:rPr>
                <w:rFonts w:eastAsia="Arial" w:cs="Arial"/>
                <w:b/>
                <w:bCs/>
                <w:color w:val="000000" w:themeColor="text1"/>
                <w:szCs w:val="24"/>
              </w:rPr>
              <w:t xml:space="preserve"> </w:t>
            </w:r>
          </w:p>
          <w:p w14:paraId="6576B14E" w14:textId="6D2362BC" w:rsidR="015AD2CD" w:rsidRPr="004D0638" w:rsidRDefault="015AD2CD" w:rsidP="004D0638">
            <w:pPr>
              <w:tabs>
                <w:tab w:val="left" w:pos="1418"/>
                <w:tab w:val="right" w:pos="8478"/>
              </w:tabs>
              <w:jc w:val="center"/>
              <w:rPr>
                <w:rFonts w:cs="Arial"/>
                <w:szCs w:val="24"/>
              </w:rPr>
            </w:pPr>
            <w:r w:rsidRPr="004D0638">
              <w:rPr>
                <w:rFonts w:eastAsia="Arial" w:cs="Arial"/>
                <w:b/>
                <w:bCs/>
                <w:color w:val="000000" w:themeColor="text1"/>
                <w:szCs w:val="24"/>
              </w:rPr>
              <w:t xml:space="preserve"> </w:t>
            </w:r>
          </w:p>
          <w:p w14:paraId="360E08B8" w14:textId="026CDD6B" w:rsidR="015AD2CD" w:rsidRPr="004D0638" w:rsidRDefault="015AD2CD" w:rsidP="004D0638">
            <w:pPr>
              <w:tabs>
                <w:tab w:val="left" w:pos="1418"/>
                <w:tab w:val="right" w:pos="8478"/>
              </w:tabs>
              <w:jc w:val="center"/>
              <w:rPr>
                <w:rFonts w:cs="Arial"/>
                <w:szCs w:val="24"/>
              </w:rPr>
            </w:pPr>
            <w:r w:rsidRPr="004D0638">
              <w:rPr>
                <w:rFonts w:eastAsia="Arial" w:cs="Arial"/>
                <w:b/>
                <w:bCs/>
                <w:color w:val="000000" w:themeColor="text1"/>
                <w:szCs w:val="24"/>
              </w:rPr>
              <w:t xml:space="preserve"> </w:t>
            </w:r>
          </w:p>
          <w:p w14:paraId="344EFCAE" w14:textId="6A2D306B" w:rsidR="015AD2CD" w:rsidRPr="004D0638" w:rsidRDefault="015AD2CD" w:rsidP="004D0638">
            <w:pPr>
              <w:tabs>
                <w:tab w:val="left" w:pos="1418"/>
                <w:tab w:val="right" w:pos="8478"/>
              </w:tabs>
              <w:jc w:val="center"/>
              <w:rPr>
                <w:rFonts w:cs="Arial"/>
                <w:szCs w:val="24"/>
              </w:rPr>
            </w:pPr>
            <w:r w:rsidRPr="004D0638">
              <w:rPr>
                <w:rFonts w:eastAsia="Arial" w:cs="Arial"/>
                <w:b/>
                <w:bCs/>
                <w:color w:val="000000" w:themeColor="text1"/>
                <w:szCs w:val="24"/>
              </w:rPr>
              <w:t>____________________________</w:t>
            </w:r>
          </w:p>
          <w:p w14:paraId="737ECD11" w14:textId="1949B12A" w:rsidR="015AD2CD" w:rsidRPr="004D0638" w:rsidRDefault="015AD2CD" w:rsidP="004D0638">
            <w:pPr>
              <w:tabs>
                <w:tab w:val="left" w:pos="708"/>
                <w:tab w:val="left" w:pos="1416"/>
                <w:tab w:val="left" w:pos="2124"/>
                <w:tab w:val="left" w:pos="2832"/>
                <w:tab w:val="left" w:pos="3540"/>
                <w:tab w:val="left" w:pos="4248"/>
                <w:tab w:val="left" w:pos="4320"/>
              </w:tabs>
              <w:jc w:val="center"/>
              <w:rPr>
                <w:rFonts w:cs="Arial"/>
                <w:szCs w:val="24"/>
              </w:rPr>
            </w:pPr>
            <w:r w:rsidRPr="004D0638">
              <w:rPr>
                <w:rFonts w:eastAsia="Arial" w:cs="Arial"/>
                <w:b/>
                <w:bCs/>
                <w:color w:val="000000" w:themeColor="text1"/>
                <w:szCs w:val="24"/>
              </w:rPr>
              <w:t>Pela delegação do Uruguai</w:t>
            </w:r>
          </w:p>
          <w:p w14:paraId="447061E1" w14:textId="018092D2" w:rsidR="015AD2CD" w:rsidRPr="004D0638" w:rsidRDefault="015AD2CD" w:rsidP="004D0638">
            <w:pPr>
              <w:tabs>
                <w:tab w:val="left" w:pos="708"/>
                <w:tab w:val="left" w:pos="1416"/>
                <w:tab w:val="left" w:pos="2124"/>
                <w:tab w:val="left" w:pos="2832"/>
                <w:tab w:val="left" w:pos="3540"/>
                <w:tab w:val="left" w:pos="4248"/>
                <w:tab w:val="left" w:pos="4320"/>
              </w:tabs>
              <w:jc w:val="center"/>
              <w:rPr>
                <w:rFonts w:cs="Arial"/>
                <w:szCs w:val="24"/>
              </w:rPr>
            </w:pPr>
            <w:r w:rsidRPr="004D0638">
              <w:rPr>
                <w:rFonts w:eastAsia="Arial" w:cs="Arial"/>
                <w:szCs w:val="24"/>
              </w:rPr>
              <w:t xml:space="preserve">Matías </w:t>
            </w:r>
            <w:proofErr w:type="spellStart"/>
            <w:r w:rsidRPr="004D0638">
              <w:rPr>
                <w:rFonts w:eastAsia="Arial" w:cs="Arial"/>
                <w:szCs w:val="24"/>
              </w:rPr>
              <w:t>Vain</w:t>
            </w:r>
            <w:proofErr w:type="spellEnd"/>
          </w:p>
        </w:tc>
      </w:tr>
      <w:tr w:rsidR="015AD2CD" w:rsidRPr="004D0638" w14:paraId="70E25821" w14:textId="77777777" w:rsidTr="00A74B30">
        <w:trPr>
          <w:trHeight w:val="300"/>
        </w:trPr>
        <w:tc>
          <w:tcPr>
            <w:tcW w:w="295" w:type="dxa"/>
            <w:tcBorders>
              <w:top w:val="nil"/>
              <w:left w:val="nil"/>
              <w:bottom w:val="nil"/>
              <w:right w:val="nil"/>
            </w:tcBorders>
            <w:vAlign w:val="center"/>
          </w:tcPr>
          <w:p w14:paraId="02B72B55" w14:textId="1CC2F42D" w:rsidR="015AD2CD" w:rsidRPr="004D0638" w:rsidRDefault="015AD2CD" w:rsidP="004D0638">
            <w:pPr>
              <w:rPr>
                <w:rFonts w:cs="Arial"/>
                <w:szCs w:val="24"/>
              </w:rPr>
            </w:pPr>
          </w:p>
        </w:tc>
        <w:tc>
          <w:tcPr>
            <w:tcW w:w="1790" w:type="dxa"/>
            <w:tcBorders>
              <w:top w:val="nil"/>
              <w:left w:val="nil"/>
              <w:bottom w:val="nil"/>
              <w:right w:val="nil"/>
            </w:tcBorders>
            <w:vAlign w:val="center"/>
          </w:tcPr>
          <w:p w14:paraId="6BA1B31A" w14:textId="4FDF70C0" w:rsidR="015AD2CD" w:rsidRPr="004D0638" w:rsidRDefault="015AD2CD" w:rsidP="004D0638">
            <w:pPr>
              <w:rPr>
                <w:rFonts w:cs="Arial"/>
                <w:szCs w:val="24"/>
              </w:rPr>
            </w:pPr>
          </w:p>
        </w:tc>
        <w:tc>
          <w:tcPr>
            <w:tcW w:w="2854" w:type="dxa"/>
            <w:tcBorders>
              <w:top w:val="nil"/>
              <w:left w:val="nil"/>
              <w:bottom w:val="nil"/>
              <w:right w:val="nil"/>
            </w:tcBorders>
            <w:vAlign w:val="center"/>
          </w:tcPr>
          <w:p w14:paraId="3C8576BD" w14:textId="1FF96D1D" w:rsidR="015AD2CD" w:rsidRPr="004D0638" w:rsidRDefault="015AD2CD" w:rsidP="004D0638">
            <w:pPr>
              <w:rPr>
                <w:rFonts w:cs="Arial"/>
                <w:szCs w:val="24"/>
              </w:rPr>
            </w:pPr>
          </w:p>
        </w:tc>
        <w:tc>
          <w:tcPr>
            <w:tcW w:w="4826" w:type="dxa"/>
            <w:tcBorders>
              <w:top w:val="nil"/>
              <w:left w:val="nil"/>
              <w:bottom w:val="nil"/>
              <w:right w:val="nil"/>
            </w:tcBorders>
            <w:vAlign w:val="center"/>
          </w:tcPr>
          <w:p w14:paraId="24F732EE" w14:textId="76519F3E" w:rsidR="015AD2CD" w:rsidRPr="004D0638" w:rsidRDefault="015AD2CD" w:rsidP="004D0638">
            <w:pPr>
              <w:rPr>
                <w:rFonts w:cs="Arial"/>
                <w:szCs w:val="24"/>
              </w:rPr>
            </w:pPr>
          </w:p>
        </w:tc>
        <w:tc>
          <w:tcPr>
            <w:tcW w:w="721" w:type="dxa"/>
            <w:tcBorders>
              <w:top w:val="nil"/>
              <w:left w:val="nil"/>
              <w:bottom w:val="nil"/>
              <w:right w:val="nil"/>
            </w:tcBorders>
            <w:vAlign w:val="center"/>
          </w:tcPr>
          <w:p w14:paraId="5184B74F" w14:textId="79B0BA51" w:rsidR="015AD2CD" w:rsidRPr="004D0638" w:rsidRDefault="015AD2CD" w:rsidP="004D0638">
            <w:pPr>
              <w:rPr>
                <w:rFonts w:cs="Arial"/>
                <w:szCs w:val="24"/>
              </w:rPr>
            </w:pPr>
          </w:p>
        </w:tc>
      </w:tr>
    </w:tbl>
    <w:p w14:paraId="7E5F0994" w14:textId="4F5A8808" w:rsidR="00434E80" w:rsidRDefault="00434E80" w:rsidP="015AD2CD">
      <w:pPr>
        <w:tabs>
          <w:tab w:val="center" w:pos="4252"/>
          <w:tab w:val="right" w:pos="8478"/>
          <w:tab w:val="left" w:pos="8496"/>
          <w:tab w:val="left" w:pos="8520"/>
        </w:tabs>
        <w:jc w:val="both"/>
        <w:rPr>
          <w:rFonts w:eastAsia="Arial" w:cs="Arial"/>
          <w:b/>
          <w:bCs/>
          <w:color w:val="000000" w:themeColor="text1"/>
          <w:szCs w:val="24"/>
        </w:rPr>
      </w:pPr>
    </w:p>
    <w:p w14:paraId="702705CC" w14:textId="09C02B54" w:rsidR="00434E80" w:rsidRDefault="00434E80" w:rsidP="015AD2CD">
      <w:pPr>
        <w:rPr>
          <w:rFonts w:cs="Arial"/>
        </w:rPr>
      </w:pPr>
    </w:p>
    <w:sectPr w:rsidR="00434E80" w:rsidSect="00BB6109">
      <w:headerReference w:type="even" r:id="rId13"/>
      <w:headerReference w:type="default" r:id="rId14"/>
      <w:footerReference w:type="default" r:id="rId15"/>
      <w:headerReference w:type="first" r:id="rId16"/>
      <w:footerReference w:type="first" r:id="rId17"/>
      <w:pgSz w:w="11907" w:h="16840" w:code="9"/>
      <w:pgMar w:top="1417" w:right="1701" w:bottom="1417" w:left="1701" w:header="680" w:footer="412"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8BFBF9" w14:textId="77777777" w:rsidR="00FE7D7F" w:rsidRPr="00BB6109" w:rsidRDefault="00FE7D7F">
      <w:r w:rsidRPr="00BB6109">
        <w:separator/>
      </w:r>
    </w:p>
  </w:endnote>
  <w:endnote w:type="continuationSeparator" w:id="0">
    <w:p w14:paraId="39021823" w14:textId="77777777" w:rsidR="00FE7D7F" w:rsidRPr="00BB6109" w:rsidRDefault="00FE7D7F">
      <w:r w:rsidRPr="00BB610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A7441" w14:textId="77777777" w:rsidR="00A96A56" w:rsidRPr="00BB6109" w:rsidRDefault="00A96A56">
    <w:pPr>
      <w:pStyle w:val="Piedepgina"/>
      <w:jc w:val="right"/>
    </w:pPr>
    <w:r w:rsidRPr="00BB6109">
      <w:fldChar w:fldCharType="begin"/>
    </w:r>
    <w:r w:rsidRPr="00BB6109">
      <w:instrText>PAGE   \* MERGEFORMAT</w:instrText>
    </w:r>
    <w:r w:rsidRPr="00BB6109">
      <w:fldChar w:fldCharType="separate"/>
    </w:r>
    <w:r w:rsidR="00AE0789" w:rsidRPr="00BB6109">
      <w:t>4</w:t>
    </w:r>
    <w:r w:rsidRPr="00BB6109">
      <w:fldChar w:fldCharType="end"/>
    </w:r>
  </w:p>
  <w:p w14:paraId="0BEAB084" w14:textId="77777777" w:rsidR="00A96A56" w:rsidRPr="00BB6109" w:rsidRDefault="00A96A56" w:rsidP="00F44C43">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83088" w14:textId="77777777" w:rsidR="00A96A56" w:rsidRPr="00BB6109" w:rsidRDefault="00A96A56" w:rsidP="00870C4E">
    <w:pPr>
      <w:tabs>
        <w:tab w:val="center" w:pos="4419"/>
        <w:tab w:val="right" w:pos="8838"/>
      </w:tabs>
      <w:jc w:val="center"/>
      <w:rPr>
        <w:b/>
        <w:i/>
        <w:sz w:val="16"/>
      </w:rPr>
    </w:pPr>
    <w:r w:rsidRPr="00BB6109">
      <w:rPr>
        <w:b/>
        <w:i/>
        <w:sz w:val="16"/>
      </w:rPr>
      <w:t>Secretaria do MERCOSUL</w:t>
    </w:r>
  </w:p>
  <w:p w14:paraId="59DA870E" w14:textId="77777777" w:rsidR="00A96A56" w:rsidRPr="00BB6109" w:rsidRDefault="00A96A56" w:rsidP="00870C4E">
    <w:pPr>
      <w:tabs>
        <w:tab w:val="center" w:pos="4419"/>
        <w:tab w:val="right" w:pos="8838"/>
      </w:tabs>
      <w:jc w:val="center"/>
      <w:rPr>
        <w:b/>
        <w:sz w:val="16"/>
      </w:rPr>
    </w:pPr>
    <w:r w:rsidRPr="00BB6109">
      <w:rPr>
        <w:b/>
        <w:sz w:val="16"/>
      </w:rPr>
      <w:t>Arquivo Oficial</w:t>
    </w:r>
  </w:p>
  <w:p w14:paraId="2F7C1705" w14:textId="77777777" w:rsidR="00A96A56" w:rsidRPr="00BB6109" w:rsidRDefault="00A96A56" w:rsidP="00870C4E">
    <w:pPr>
      <w:tabs>
        <w:tab w:val="center" w:pos="4419"/>
        <w:tab w:val="right" w:pos="8838"/>
      </w:tabs>
      <w:jc w:val="center"/>
      <w:rPr>
        <w:b/>
        <w:sz w:val="16"/>
      </w:rPr>
    </w:pPr>
    <w:r w:rsidRPr="00BB6109">
      <w:rPr>
        <w:sz w:val="16"/>
      </w:rPr>
      <w:t xml:space="preserve">  www.mercosul.int </w:t>
    </w:r>
  </w:p>
  <w:p w14:paraId="468BD76F" w14:textId="77777777" w:rsidR="00A96A56" w:rsidRPr="00BB6109" w:rsidRDefault="00A96A56" w:rsidP="00870C4E">
    <w:pPr>
      <w:tabs>
        <w:tab w:val="center" w:pos="4419"/>
        <w:tab w:val="right" w:pos="8838"/>
      </w:tabs>
    </w:pPr>
  </w:p>
  <w:p w14:paraId="7DD49523" w14:textId="77777777" w:rsidR="00A96A56" w:rsidRPr="00BB6109" w:rsidRDefault="00A96A5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FA1CC5" w14:textId="77777777" w:rsidR="00FE7D7F" w:rsidRPr="00BB6109" w:rsidRDefault="00FE7D7F">
      <w:r w:rsidRPr="00BB6109">
        <w:separator/>
      </w:r>
    </w:p>
  </w:footnote>
  <w:footnote w:type="continuationSeparator" w:id="0">
    <w:p w14:paraId="52D48D5D" w14:textId="77777777" w:rsidR="00FE7D7F" w:rsidRPr="00BB6109" w:rsidRDefault="00FE7D7F">
      <w:r w:rsidRPr="00BB610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95168" w14:textId="77777777" w:rsidR="00A96A56" w:rsidRPr="00BB6109" w:rsidRDefault="002A4F6E">
    <w:pPr>
      <w:pStyle w:val="Encabezado"/>
    </w:pPr>
    <w:r>
      <w:rPr>
        <w:snapToGrid/>
      </w:rPr>
      <w:pict w14:anchorId="180169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616196" o:spid="_x0000_s1027" type="#_x0000_t75" alt="LogoMERCOSUR-Principal" style="position:absolute;margin-left:0;margin-top:0;width:510.2pt;height:309.3pt;z-index:-251659776;mso-wrap-edited:f;mso-width-percent:0;mso-height-percent:0;mso-position-horizontal:center;mso-position-horizontal-relative:margin;mso-position-vertical:center;mso-position-vertical-relative:margin;mso-width-percent:0;mso-height-percent:0" o:allowincell="f">
          <v:imagedata r:id="rId1" o:title="LogoMERCOSUR-Principal"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1C200" w14:textId="77777777" w:rsidR="00A96A56" w:rsidRPr="00BB6109" w:rsidRDefault="002A4F6E">
    <w:pPr>
      <w:pStyle w:val="Encabezado"/>
    </w:pPr>
    <w:r>
      <w:rPr>
        <w:snapToGrid/>
      </w:rPr>
      <w:pict w14:anchorId="094550E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616197" o:spid="_x0000_s1026" type="#_x0000_t75" alt="LogoMERCOSUR-Principal" style="position:absolute;margin-left:0;margin-top:0;width:510.2pt;height:309.3pt;z-index:-251658752;mso-wrap-edited:f;mso-width-percent:0;mso-height-percent:0;mso-position-horizontal:center;mso-position-horizontal-relative:margin;mso-position-vertical:center;mso-position-vertical-relative:margin;mso-width-percent:0;mso-height-percent:0" o:allowincell="f">
          <v:imagedata r:id="rId1" o:title="LogoMERCOSUR-Principal"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9FAEA" w14:textId="77777777" w:rsidR="00A96A56" w:rsidRPr="00BB6109" w:rsidRDefault="002A4F6E">
    <w:pPr>
      <w:pStyle w:val="Encabezado"/>
    </w:pPr>
    <w:r>
      <w:rPr>
        <w:snapToGrid/>
      </w:rPr>
      <w:pict w14:anchorId="433E00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616195" o:spid="_x0000_s1025" type="#_x0000_t75" alt="LogoMERCOSUR-Principal" style="position:absolute;margin-left:0;margin-top:0;width:510.2pt;height:309.3pt;z-index:-251657728;mso-wrap-edited:f;mso-width-percent:0;mso-height-percent:0;mso-position-horizontal:center;mso-position-horizontal-relative:margin;mso-position-vertical:center;mso-position-vertical-relative:margin;mso-width-percent:0;mso-height-percent:0" o:allowincell="f">
          <v:imagedata r:id="rId1" o:title="LogoMERCOSUR-Principal"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3"/>
    <w:lvl w:ilvl="0">
      <w:start w:val="1"/>
      <w:numFmt w:val="decimal"/>
      <w:lvlText w:val="%1."/>
      <w:lvlJc w:val="left"/>
      <w:pPr>
        <w:tabs>
          <w:tab w:val="num" w:pos="0"/>
        </w:tabs>
        <w:ind w:left="720" w:hanging="360"/>
      </w:pPr>
    </w:lvl>
  </w:abstractNum>
  <w:abstractNum w:abstractNumId="1" w15:restartNumberingAfterBreak="0">
    <w:nsid w:val="027031E9"/>
    <w:multiLevelType w:val="multilevel"/>
    <w:tmpl w:val="BBA05DCE"/>
    <w:lvl w:ilvl="0">
      <w:start w:val="1"/>
      <w:numFmt w:val="decimal"/>
      <w:lvlText w:val="%1."/>
      <w:lvlJc w:val="left"/>
      <w:pPr>
        <w:ind w:left="390" w:hanging="390"/>
      </w:pPr>
      <w:rPr>
        <w:rFonts w:hint="default"/>
        <w:b/>
      </w:rPr>
    </w:lvl>
    <w:lvl w:ilvl="1">
      <w:start w:val="1"/>
      <w:numFmt w:val="decimal"/>
      <w:lvlText w:val="%1.%2."/>
      <w:lvlJc w:val="left"/>
      <w:pPr>
        <w:ind w:left="1440" w:hanging="720"/>
      </w:pPr>
      <w:rPr>
        <w:rFonts w:hint="default"/>
        <w:b/>
        <w:color w:val="auto"/>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 w15:restartNumberingAfterBreak="0">
    <w:nsid w:val="09A363F3"/>
    <w:multiLevelType w:val="hybridMultilevel"/>
    <w:tmpl w:val="ED9C41EE"/>
    <w:lvl w:ilvl="0" w:tplc="04160019">
      <w:start w:val="1"/>
      <w:numFmt w:val="lowerLetter"/>
      <w:lvlText w:val="%1."/>
      <w:lvlJc w:val="left"/>
      <w:pPr>
        <w:ind w:left="720" w:hanging="360"/>
      </w:pPr>
      <w:rPr>
        <w:rFonts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3" w15:restartNumberingAfterBreak="0">
    <w:nsid w:val="0FCD51AF"/>
    <w:multiLevelType w:val="multilevel"/>
    <w:tmpl w:val="91CCBD06"/>
    <w:lvl w:ilvl="0">
      <w:start w:val="3"/>
      <w:numFmt w:val="decimal"/>
      <w:lvlText w:val="%1."/>
      <w:lvlJc w:val="left"/>
      <w:pPr>
        <w:ind w:left="390" w:hanging="390"/>
      </w:pPr>
      <w:rPr>
        <w:rFonts w:hint="default"/>
      </w:rPr>
    </w:lvl>
    <w:lvl w:ilvl="1">
      <w:start w:val="1"/>
      <w:numFmt w:val="decimal"/>
      <w:lvlText w:val="%1.%2."/>
      <w:lvlJc w:val="left"/>
      <w:pPr>
        <w:ind w:left="1222" w:hanging="720"/>
      </w:pPr>
      <w:rPr>
        <w:rFonts w:hint="default"/>
      </w:rPr>
    </w:lvl>
    <w:lvl w:ilvl="2">
      <w:start w:val="1"/>
      <w:numFmt w:val="decimal"/>
      <w:lvlText w:val="%1.%2.%3."/>
      <w:lvlJc w:val="left"/>
      <w:pPr>
        <w:ind w:left="1724"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5314" w:hanging="1800"/>
      </w:pPr>
      <w:rPr>
        <w:rFonts w:hint="default"/>
      </w:rPr>
    </w:lvl>
    <w:lvl w:ilvl="8">
      <w:start w:val="1"/>
      <w:numFmt w:val="decimal"/>
      <w:lvlText w:val="%1.%2.%3.%4.%5.%6.%7.%8.%9."/>
      <w:lvlJc w:val="left"/>
      <w:pPr>
        <w:ind w:left="6176" w:hanging="2160"/>
      </w:pPr>
      <w:rPr>
        <w:rFonts w:hint="default"/>
      </w:rPr>
    </w:lvl>
  </w:abstractNum>
  <w:abstractNum w:abstractNumId="4" w15:restartNumberingAfterBreak="0">
    <w:nsid w:val="116F0ECB"/>
    <w:multiLevelType w:val="hybridMultilevel"/>
    <w:tmpl w:val="2812AC7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822137F"/>
    <w:multiLevelType w:val="multilevel"/>
    <w:tmpl w:val="BBA05DCE"/>
    <w:lvl w:ilvl="0">
      <w:start w:val="1"/>
      <w:numFmt w:val="decimal"/>
      <w:lvlText w:val="%1."/>
      <w:lvlJc w:val="left"/>
      <w:pPr>
        <w:ind w:left="390" w:hanging="390"/>
      </w:pPr>
      <w:rPr>
        <w:rFonts w:hint="default"/>
        <w:b/>
      </w:rPr>
    </w:lvl>
    <w:lvl w:ilvl="1">
      <w:start w:val="1"/>
      <w:numFmt w:val="decimal"/>
      <w:lvlText w:val="%1.%2."/>
      <w:lvlJc w:val="left"/>
      <w:pPr>
        <w:ind w:left="1440" w:hanging="720"/>
      </w:pPr>
      <w:rPr>
        <w:rFonts w:hint="default"/>
        <w:b/>
        <w:color w:val="auto"/>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6" w15:restartNumberingAfterBreak="0">
    <w:nsid w:val="1BA406F7"/>
    <w:multiLevelType w:val="hybridMultilevel"/>
    <w:tmpl w:val="9288D7EC"/>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E710974"/>
    <w:multiLevelType w:val="multilevel"/>
    <w:tmpl w:val="BBA05DCE"/>
    <w:lvl w:ilvl="0">
      <w:start w:val="1"/>
      <w:numFmt w:val="decimal"/>
      <w:lvlText w:val="%1."/>
      <w:lvlJc w:val="left"/>
      <w:pPr>
        <w:ind w:left="390" w:hanging="390"/>
      </w:pPr>
      <w:rPr>
        <w:rFonts w:hint="default"/>
        <w:b/>
      </w:rPr>
    </w:lvl>
    <w:lvl w:ilvl="1">
      <w:start w:val="1"/>
      <w:numFmt w:val="decimal"/>
      <w:lvlText w:val="%1.%2."/>
      <w:lvlJc w:val="left"/>
      <w:pPr>
        <w:ind w:left="1440" w:hanging="720"/>
      </w:pPr>
      <w:rPr>
        <w:rFonts w:hint="default"/>
        <w:b/>
        <w:color w:val="auto"/>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8" w15:restartNumberingAfterBreak="0">
    <w:nsid w:val="30E74CA7"/>
    <w:multiLevelType w:val="multilevel"/>
    <w:tmpl w:val="1506ED8A"/>
    <w:lvl w:ilvl="0">
      <w:start w:val="1"/>
      <w:numFmt w:val="decimal"/>
      <w:lvlText w:val="%1."/>
      <w:lvlJc w:val="left"/>
      <w:pPr>
        <w:ind w:left="1068" w:hanging="360"/>
      </w:pPr>
      <w:rPr>
        <w:rFonts w:ascii="Arial" w:hAnsi="Arial" w:cs="Arial" w:hint="default"/>
        <w:b/>
      </w:rPr>
    </w:lvl>
    <w:lvl w:ilvl="1">
      <w:start w:val="1"/>
      <w:numFmt w:val="decimal"/>
      <w:lvlText w:val="%1.%2."/>
      <w:lvlJc w:val="left"/>
      <w:pPr>
        <w:ind w:left="1500" w:hanging="432"/>
      </w:pPr>
      <w:rPr>
        <w:b/>
      </w:r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9" w15:restartNumberingAfterBreak="0">
    <w:nsid w:val="35E6033F"/>
    <w:multiLevelType w:val="hybridMultilevel"/>
    <w:tmpl w:val="03F87FA8"/>
    <w:lvl w:ilvl="0" w:tplc="380A000F">
      <w:start w:val="1"/>
      <w:numFmt w:val="decimal"/>
      <w:lvlText w:val="%1."/>
      <w:lvlJc w:val="left"/>
      <w:pPr>
        <w:ind w:left="720" w:hanging="360"/>
      </w:pPr>
      <w:rPr>
        <w:rFonts w:hint="default"/>
      </w:rPr>
    </w:lvl>
    <w:lvl w:ilvl="1" w:tplc="380A0019">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10" w15:restartNumberingAfterBreak="0">
    <w:nsid w:val="3AE522ED"/>
    <w:multiLevelType w:val="hybridMultilevel"/>
    <w:tmpl w:val="ED9C41EE"/>
    <w:lvl w:ilvl="0" w:tplc="04160019">
      <w:start w:val="1"/>
      <w:numFmt w:val="lowerLetter"/>
      <w:lvlText w:val="%1."/>
      <w:lvlJc w:val="left"/>
      <w:pPr>
        <w:ind w:left="720" w:hanging="360"/>
      </w:pPr>
      <w:rPr>
        <w:rFonts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11" w15:restartNumberingAfterBreak="0">
    <w:nsid w:val="3D92AE51"/>
    <w:multiLevelType w:val="multilevel"/>
    <w:tmpl w:val="3A00709E"/>
    <w:lvl w:ilvl="0">
      <w:start w:val="7"/>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2" w15:restartNumberingAfterBreak="0">
    <w:nsid w:val="40E13314"/>
    <w:multiLevelType w:val="multilevel"/>
    <w:tmpl w:val="BABC3A9A"/>
    <w:lvl w:ilvl="0">
      <w:start w:val="1"/>
      <w:numFmt w:val="decimal"/>
      <w:lvlText w:val="%1."/>
      <w:lvlJc w:val="left"/>
      <w:pPr>
        <w:tabs>
          <w:tab w:val="left" w:pos="566"/>
          <w:tab w:val="left" w:pos="1416"/>
          <w:tab w:val="left" w:pos="2124"/>
          <w:tab w:val="left" w:pos="2832"/>
          <w:tab w:val="left" w:pos="3540"/>
          <w:tab w:val="left" w:pos="4248"/>
          <w:tab w:val="center" w:pos="4252"/>
          <w:tab w:val="left" w:pos="4956"/>
          <w:tab w:val="left" w:pos="5664"/>
          <w:tab w:val="left" w:pos="6372"/>
          <w:tab w:val="left" w:pos="7080"/>
          <w:tab w:val="left" w:pos="7788"/>
          <w:tab w:val="left" w:pos="8496"/>
          <w:tab w:val="right" w:pos="8504"/>
          <w:tab w:val="left" w:pos="8520"/>
        </w:tabs>
        <w:ind w:left="502"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left" w:pos="1274"/>
          <w:tab w:val="left" w:pos="2124"/>
          <w:tab w:val="left" w:pos="2832"/>
          <w:tab w:val="left" w:pos="3540"/>
          <w:tab w:val="left" w:pos="4248"/>
          <w:tab w:val="center" w:pos="4252"/>
          <w:tab w:val="left" w:pos="4956"/>
          <w:tab w:val="left" w:pos="5664"/>
          <w:tab w:val="left" w:pos="6372"/>
          <w:tab w:val="left" w:pos="7080"/>
          <w:tab w:val="left" w:pos="7788"/>
          <w:tab w:val="left" w:pos="8496"/>
          <w:tab w:val="right" w:pos="8504"/>
          <w:tab w:val="left" w:pos="8520"/>
        </w:tabs>
        <w:ind w:left="708" w:hanging="20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left" w:pos="566"/>
          <w:tab w:val="left" w:pos="1416"/>
          <w:tab w:val="left" w:pos="2124"/>
          <w:tab w:val="left" w:pos="2832"/>
          <w:tab w:val="left" w:pos="3540"/>
          <w:tab w:val="left" w:pos="4248"/>
          <w:tab w:val="center" w:pos="4252"/>
          <w:tab w:val="left" w:pos="4956"/>
          <w:tab w:val="left" w:pos="5664"/>
          <w:tab w:val="left" w:pos="6372"/>
          <w:tab w:val="left" w:pos="7080"/>
          <w:tab w:val="left" w:pos="7788"/>
          <w:tab w:val="left" w:pos="8496"/>
          <w:tab w:val="right" w:pos="8504"/>
          <w:tab w:val="left" w:pos="8520"/>
        </w:tabs>
        <w:ind w:left="1366" w:hanging="50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left" w:pos="566"/>
          <w:tab w:val="left" w:pos="2124"/>
          <w:tab w:val="left" w:pos="2832"/>
          <w:tab w:val="left" w:pos="3540"/>
          <w:tab w:val="left" w:pos="4248"/>
          <w:tab w:val="center" w:pos="4252"/>
          <w:tab w:val="left" w:pos="4956"/>
          <w:tab w:val="left" w:pos="5664"/>
          <w:tab w:val="left" w:pos="6372"/>
          <w:tab w:val="left" w:pos="7080"/>
          <w:tab w:val="left" w:pos="7788"/>
          <w:tab w:val="left" w:pos="8496"/>
          <w:tab w:val="right" w:pos="8504"/>
          <w:tab w:val="left" w:pos="8520"/>
        </w:tabs>
        <w:ind w:left="1416" w:hanging="19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left" w:pos="566"/>
          <w:tab w:val="left" w:pos="1416"/>
          <w:tab w:val="left" w:pos="2832"/>
          <w:tab w:val="left" w:pos="3540"/>
          <w:tab w:val="left" w:pos="4248"/>
          <w:tab w:val="center" w:pos="4252"/>
          <w:tab w:val="left" w:pos="4956"/>
          <w:tab w:val="left" w:pos="5664"/>
          <w:tab w:val="left" w:pos="6372"/>
          <w:tab w:val="left" w:pos="7080"/>
          <w:tab w:val="left" w:pos="7788"/>
          <w:tab w:val="left" w:pos="8496"/>
          <w:tab w:val="right" w:pos="8504"/>
          <w:tab w:val="left" w:pos="8520"/>
        </w:tabs>
        <w:ind w:left="2124" w:hanging="54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left" w:pos="566"/>
          <w:tab w:val="left" w:pos="1416"/>
          <w:tab w:val="left" w:pos="2832"/>
          <w:tab w:val="left" w:pos="3540"/>
          <w:tab w:val="left" w:pos="4248"/>
          <w:tab w:val="center" w:pos="4252"/>
          <w:tab w:val="left" w:pos="4956"/>
          <w:tab w:val="left" w:pos="5664"/>
          <w:tab w:val="left" w:pos="6372"/>
          <w:tab w:val="left" w:pos="7080"/>
          <w:tab w:val="left" w:pos="7788"/>
          <w:tab w:val="left" w:pos="8496"/>
          <w:tab w:val="right" w:pos="8504"/>
          <w:tab w:val="left" w:pos="8520"/>
        </w:tabs>
        <w:ind w:left="2124" w:hanging="18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tabs>
          <w:tab w:val="left" w:pos="566"/>
          <w:tab w:val="left" w:pos="1416"/>
          <w:tab w:val="left" w:pos="2124"/>
          <w:tab w:val="left" w:pos="3540"/>
          <w:tab w:val="left" w:pos="4248"/>
          <w:tab w:val="center" w:pos="4252"/>
          <w:tab w:val="left" w:pos="4956"/>
          <w:tab w:val="left" w:pos="5664"/>
          <w:tab w:val="left" w:pos="6372"/>
          <w:tab w:val="left" w:pos="7080"/>
          <w:tab w:val="left" w:pos="7788"/>
          <w:tab w:val="left" w:pos="8496"/>
          <w:tab w:val="right" w:pos="8504"/>
          <w:tab w:val="left" w:pos="8520"/>
        </w:tabs>
        <w:ind w:left="2832" w:hanging="53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left" w:pos="566"/>
          <w:tab w:val="left" w:pos="1416"/>
          <w:tab w:val="left" w:pos="2124"/>
          <w:tab w:val="left" w:pos="3540"/>
          <w:tab w:val="left" w:pos="4248"/>
          <w:tab w:val="center" w:pos="4252"/>
          <w:tab w:val="left" w:pos="4956"/>
          <w:tab w:val="left" w:pos="5664"/>
          <w:tab w:val="left" w:pos="6372"/>
          <w:tab w:val="left" w:pos="7080"/>
          <w:tab w:val="left" w:pos="7788"/>
          <w:tab w:val="left" w:pos="8496"/>
          <w:tab w:val="right" w:pos="8504"/>
          <w:tab w:val="left" w:pos="8520"/>
        </w:tabs>
        <w:ind w:left="2832" w:hanging="17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tabs>
          <w:tab w:val="left" w:pos="566"/>
          <w:tab w:val="left" w:pos="1416"/>
          <w:tab w:val="left" w:pos="2124"/>
          <w:tab w:val="left" w:pos="2832"/>
          <w:tab w:val="left" w:pos="4248"/>
          <w:tab w:val="center" w:pos="4252"/>
          <w:tab w:val="left" w:pos="4956"/>
          <w:tab w:val="left" w:pos="5664"/>
          <w:tab w:val="left" w:pos="6372"/>
          <w:tab w:val="left" w:pos="7080"/>
          <w:tab w:val="left" w:pos="7788"/>
          <w:tab w:val="left" w:pos="8496"/>
          <w:tab w:val="right" w:pos="8504"/>
          <w:tab w:val="left" w:pos="8520"/>
        </w:tabs>
        <w:ind w:left="3540" w:hanging="518"/>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0">
    <w:nsid w:val="447163A4"/>
    <w:multiLevelType w:val="multilevel"/>
    <w:tmpl w:val="BABC3A9A"/>
    <w:styleLink w:val="ImportedStyle1"/>
    <w:lvl w:ilvl="0">
      <w:start w:val="1"/>
      <w:numFmt w:val="decimal"/>
      <w:lvlText w:val="%1."/>
      <w:lvlJc w:val="left"/>
      <w:pPr>
        <w:tabs>
          <w:tab w:val="left" w:pos="708"/>
          <w:tab w:val="left" w:pos="1416"/>
          <w:tab w:val="left" w:pos="2124"/>
          <w:tab w:val="left" w:pos="2832"/>
          <w:tab w:val="left" w:pos="3540"/>
          <w:tab w:val="left" w:pos="4248"/>
          <w:tab w:val="center" w:pos="4252"/>
          <w:tab w:val="left" w:pos="4956"/>
          <w:tab w:val="left" w:pos="5664"/>
          <w:tab w:val="left" w:pos="6372"/>
          <w:tab w:val="left" w:pos="7080"/>
          <w:tab w:val="left" w:pos="7788"/>
          <w:tab w:val="left" w:pos="8496"/>
          <w:tab w:val="right" w:pos="8504"/>
          <w:tab w:val="left" w:pos="8520"/>
        </w:tabs>
        <w:ind w:left="502"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left" w:pos="1416"/>
          <w:tab w:val="left" w:pos="2124"/>
          <w:tab w:val="left" w:pos="2832"/>
          <w:tab w:val="left" w:pos="3540"/>
          <w:tab w:val="left" w:pos="4248"/>
          <w:tab w:val="center" w:pos="4252"/>
          <w:tab w:val="left" w:pos="4956"/>
          <w:tab w:val="left" w:pos="5664"/>
          <w:tab w:val="left" w:pos="6372"/>
          <w:tab w:val="left" w:pos="7080"/>
          <w:tab w:val="left" w:pos="7788"/>
          <w:tab w:val="left" w:pos="8496"/>
          <w:tab w:val="right" w:pos="8504"/>
          <w:tab w:val="left" w:pos="8520"/>
        </w:tabs>
        <w:ind w:left="708" w:hanging="20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left" w:pos="708"/>
          <w:tab w:val="left" w:pos="1416"/>
          <w:tab w:val="left" w:pos="2124"/>
          <w:tab w:val="left" w:pos="2832"/>
          <w:tab w:val="left" w:pos="3540"/>
          <w:tab w:val="left" w:pos="4248"/>
          <w:tab w:val="center" w:pos="4252"/>
          <w:tab w:val="left" w:pos="4956"/>
          <w:tab w:val="left" w:pos="5664"/>
          <w:tab w:val="left" w:pos="6372"/>
          <w:tab w:val="left" w:pos="7080"/>
          <w:tab w:val="left" w:pos="7788"/>
          <w:tab w:val="left" w:pos="8496"/>
          <w:tab w:val="right" w:pos="8504"/>
          <w:tab w:val="left" w:pos="8520"/>
        </w:tabs>
        <w:ind w:left="1366" w:hanging="50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left" w:pos="708"/>
          <w:tab w:val="left" w:pos="2124"/>
          <w:tab w:val="left" w:pos="2832"/>
          <w:tab w:val="left" w:pos="3540"/>
          <w:tab w:val="left" w:pos="4248"/>
          <w:tab w:val="center" w:pos="4252"/>
          <w:tab w:val="left" w:pos="4956"/>
          <w:tab w:val="left" w:pos="5664"/>
          <w:tab w:val="left" w:pos="6372"/>
          <w:tab w:val="left" w:pos="7080"/>
          <w:tab w:val="left" w:pos="7788"/>
          <w:tab w:val="left" w:pos="8496"/>
          <w:tab w:val="right" w:pos="8504"/>
          <w:tab w:val="left" w:pos="8520"/>
        </w:tabs>
        <w:ind w:left="1416" w:hanging="19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left" w:pos="708"/>
          <w:tab w:val="left" w:pos="1416"/>
          <w:tab w:val="left" w:pos="2832"/>
          <w:tab w:val="left" w:pos="3540"/>
          <w:tab w:val="left" w:pos="4248"/>
          <w:tab w:val="center" w:pos="4252"/>
          <w:tab w:val="left" w:pos="4956"/>
          <w:tab w:val="left" w:pos="5664"/>
          <w:tab w:val="left" w:pos="6372"/>
          <w:tab w:val="left" w:pos="7080"/>
          <w:tab w:val="left" w:pos="7788"/>
          <w:tab w:val="left" w:pos="8496"/>
          <w:tab w:val="right" w:pos="8504"/>
          <w:tab w:val="left" w:pos="8520"/>
        </w:tabs>
        <w:ind w:left="2124" w:hanging="54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left" w:pos="708"/>
          <w:tab w:val="left" w:pos="1416"/>
          <w:tab w:val="left" w:pos="2832"/>
          <w:tab w:val="left" w:pos="3540"/>
          <w:tab w:val="left" w:pos="4248"/>
          <w:tab w:val="center" w:pos="4252"/>
          <w:tab w:val="left" w:pos="4956"/>
          <w:tab w:val="left" w:pos="5664"/>
          <w:tab w:val="left" w:pos="6372"/>
          <w:tab w:val="left" w:pos="7080"/>
          <w:tab w:val="left" w:pos="7788"/>
          <w:tab w:val="left" w:pos="8496"/>
          <w:tab w:val="right" w:pos="8504"/>
          <w:tab w:val="left" w:pos="8520"/>
        </w:tabs>
        <w:ind w:left="2124" w:hanging="18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tabs>
          <w:tab w:val="left" w:pos="708"/>
          <w:tab w:val="left" w:pos="1416"/>
          <w:tab w:val="left" w:pos="2124"/>
          <w:tab w:val="left" w:pos="3540"/>
          <w:tab w:val="left" w:pos="4248"/>
          <w:tab w:val="center" w:pos="4252"/>
          <w:tab w:val="left" w:pos="4956"/>
          <w:tab w:val="left" w:pos="5664"/>
          <w:tab w:val="left" w:pos="6372"/>
          <w:tab w:val="left" w:pos="7080"/>
          <w:tab w:val="left" w:pos="7788"/>
          <w:tab w:val="left" w:pos="8496"/>
          <w:tab w:val="right" w:pos="8504"/>
          <w:tab w:val="left" w:pos="8520"/>
        </w:tabs>
        <w:ind w:left="2832" w:hanging="53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left" w:pos="708"/>
          <w:tab w:val="left" w:pos="1416"/>
          <w:tab w:val="left" w:pos="2124"/>
          <w:tab w:val="left" w:pos="3540"/>
          <w:tab w:val="left" w:pos="4248"/>
          <w:tab w:val="center" w:pos="4252"/>
          <w:tab w:val="left" w:pos="4956"/>
          <w:tab w:val="left" w:pos="5664"/>
          <w:tab w:val="left" w:pos="6372"/>
          <w:tab w:val="left" w:pos="7080"/>
          <w:tab w:val="left" w:pos="7788"/>
          <w:tab w:val="left" w:pos="8496"/>
          <w:tab w:val="right" w:pos="8504"/>
          <w:tab w:val="left" w:pos="8520"/>
        </w:tabs>
        <w:ind w:left="2832" w:hanging="17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tabs>
          <w:tab w:val="left" w:pos="708"/>
          <w:tab w:val="left" w:pos="1416"/>
          <w:tab w:val="left" w:pos="2124"/>
          <w:tab w:val="left" w:pos="2832"/>
          <w:tab w:val="left" w:pos="4248"/>
          <w:tab w:val="center" w:pos="4252"/>
          <w:tab w:val="left" w:pos="4956"/>
          <w:tab w:val="left" w:pos="5664"/>
          <w:tab w:val="left" w:pos="6372"/>
          <w:tab w:val="left" w:pos="7080"/>
          <w:tab w:val="left" w:pos="7788"/>
          <w:tab w:val="left" w:pos="8496"/>
          <w:tab w:val="right" w:pos="8504"/>
          <w:tab w:val="left" w:pos="8520"/>
        </w:tabs>
        <w:ind w:left="3540" w:hanging="518"/>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44E9EAB9"/>
    <w:multiLevelType w:val="multilevel"/>
    <w:tmpl w:val="F6222660"/>
    <w:lvl w:ilvl="0">
      <w:start w:val="1"/>
      <w:numFmt w:val="decimal"/>
      <w:lvlText w:val="%1."/>
      <w:lvlJc w:val="left"/>
      <w:pPr>
        <w:ind w:left="720" w:hanging="360"/>
      </w:pPr>
    </w:lvl>
    <w:lvl w:ilvl="1">
      <w:start w:val="1"/>
      <w:numFmt w:val="decimal"/>
      <w:lvlText w:val="%1.%2."/>
      <w:lvlJc w:val="left"/>
      <w:pPr>
        <w:ind w:left="1440" w:hanging="360"/>
      </w:pPr>
      <w:rPr>
        <w:b/>
        <w:bCs/>
      </w:rPr>
    </w:lvl>
    <w:lvl w:ilvl="2">
      <w:start w:val="1"/>
      <w:numFmt w:val="decimal"/>
      <w:lvlText w:val="%1.%2.%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5905F5B"/>
    <w:multiLevelType w:val="multilevel"/>
    <w:tmpl w:val="BBA05DCE"/>
    <w:lvl w:ilvl="0">
      <w:start w:val="1"/>
      <w:numFmt w:val="decimal"/>
      <w:lvlText w:val="%1."/>
      <w:lvlJc w:val="left"/>
      <w:pPr>
        <w:ind w:left="390" w:hanging="390"/>
      </w:pPr>
      <w:rPr>
        <w:rFonts w:hint="default"/>
        <w:b/>
      </w:rPr>
    </w:lvl>
    <w:lvl w:ilvl="1">
      <w:start w:val="1"/>
      <w:numFmt w:val="decimal"/>
      <w:lvlText w:val="%1.%2."/>
      <w:lvlJc w:val="left"/>
      <w:pPr>
        <w:ind w:left="1440" w:hanging="720"/>
      </w:pPr>
      <w:rPr>
        <w:rFonts w:hint="default"/>
        <w:b/>
        <w:color w:val="auto"/>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6" w15:restartNumberingAfterBreak="0">
    <w:nsid w:val="4952245F"/>
    <w:multiLevelType w:val="hybridMultilevel"/>
    <w:tmpl w:val="3732C36E"/>
    <w:lvl w:ilvl="0" w:tplc="380A0001">
      <w:start w:val="1"/>
      <w:numFmt w:val="bullet"/>
      <w:lvlText w:val=""/>
      <w:lvlJc w:val="left"/>
      <w:pPr>
        <w:ind w:left="1500" w:hanging="360"/>
      </w:pPr>
      <w:rPr>
        <w:rFonts w:ascii="Symbol" w:hAnsi="Symbol" w:hint="default"/>
      </w:rPr>
    </w:lvl>
    <w:lvl w:ilvl="1" w:tplc="380A0003" w:tentative="1">
      <w:start w:val="1"/>
      <w:numFmt w:val="bullet"/>
      <w:lvlText w:val="o"/>
      <w:lvlJc w:val="left"/>
      <w:pPr>
        <w:ind w:left="2220" w:hanging="360"/>
      </w:pPr>
      <w:rPr>
        <w:rFonts w:ascii="Courier New" w:hAnsi="Courier New" w:cs="Courier New" w:hint="default"/>
      </w:rPr>
    </w:lvl>
    <w:lvl w:ilvl="2" w:tplc="380A0005" w:tentative="1">
      <w:start w:val="1"/>
      <w:numFmt w:val="bullet"/>
      <w:lvlText w:val=""/>
      <w:lvlJc w:val="left"/>
      <w:pPr>
        <w:ind w:left="2940" w:hanging="360"/>
      </w:pPr>
      <w:rPr>
        <w:rFonts w:ascii="Wingdings" w:hAnsi="Wingdings" w:hint="default"/>
      </w:rPr>
    </w:lvl>
    <w:lvl w:ilvl="3" w:tplc="380A0001" w:tentative="1">
      <w:start w:val="1"/>
      <w:numFmt w:val="bullet"/>
      <w:lvlText w:val=""/>
      <w:lvlJc w:val="left"/>
      <w:pPr>
        <w:ind w:left="3660" w:hanging="360"/>
      </w:pPr>
      <w:rPr>
        <w:rFonts w:ascii="Symbol" w:hAnsi="Symbol" w:hint="default"/>
      </w:rPr>
    </w:lvl>
    <w:lvl w:ilvl="4" w:tplc="380A0003" w:tentative="1">
      <w:start w:val="1"/>
      <w:numFmt w:val="bullet"/>
      <w:lvlText w:val="o"/>
      <w:lvlJc w:val="left"/>
      <w:pPr>
        <w:ind w:left="4380" w:hanging="360"/>
      </w:pPr>
      <w:rPr>
        <w:rFonts w:ascii="Courier New" w:hAnsi="Courier New" w:cs="Courier New" w:hint="default"/>
      </w:rPr>
    </w:lvl>
    <w:lvl w:ilvl="5" w:tplc="380A0005" w:tentative="1">
      <w:start w:val="1"/>
      <w:numFmt w:val="bullet"/>
      <w:lvlText w:val=""/>
      <w:lvlJc w:val="left"/>
      <w:pPr>
        <w:ind w:left="5100" w:hanging="360"/>
      </w:pPr>
      <w:rPr>
        <w:rFonts w:ascii="Wingdings" w:hAnsi="Wingdings" w:hint="default"/>
      </w:rPr>
    </w:lvl>
    <w:lvl w:ilvl="6" w:tplc="380A0001" w:tentative="1">
      <w:start w:val="1"/>
      <w:numFmt w:val="bullet"/>
      <w:lvlText w:val=""/>
      <w:lvlJc w:val="left"/>
      <w:pPr>
        <w:ind w:left="5820" w:hanging="360"/>
      </w:pPr>
      <w:rPr>
        <w:rFonts w:ascii="Symbol" w:hAnsi="Symbol" w:hint="default"/>
      </w:rPr>
    </w:lvl>
    <w:lvl w:ilvl="7" w:tplc="380A0003" w:tentative="1">
      <w:start w:val="1"/>
      <w:numFmt w:val="bullet"/>
      <w:lvlText w:val="o"/>
      <w:lvlJc w:val="left"/>
      <w:pPr>
        <w:ind w:left="6540" w:hanging="360"/>
      </w:pPr>
      <w:rPr>
        <w:rFonts w:ascii="Courier New" w:hAnsi="Courier New" w:cs="Courier New" w:hint="default"/>
      </w:rPr>
    </w:lvl>
    <w:lvl w:ilvl="8" w:tplc="380A0005" w:tentative="1">
      <w:start w:val="1"/>
      <w:numFmt w:val="bullet"/>
      <w:lvlText w:val=""/>
      <w:lvlJc w:val="left"/>
      <w:pPr>
        <w:ind w:left="7260" w:hanging="360"/>
      </w:pPr>
      <w:rPr>
        <w:rFonts w:ascii="Wingdings" w:hAnsi="Wingdings" w:hint="default"/>
      </w:rPr>
    </w:lvl>
  </w:abstractNum>
  <w:abstractNum w:abstractNumId="17" w15:restartNumberingAfterBreak="0">
    <w:nsid w:val="539252CD"/>
    <w:multiLevelType w:val="multilevel"/>
    <w:tmpl w:val="BABC3A9A"/>
    <w:numStyleLink w:val="ImportedStyle1"/>
  </w:abstractNum>
  <w:abstractNum w:abstractNumId="18" w15:restartNumberingAfterBreak="0">
    <w:nsid w:val="56B53832"/>
    <w:multiLevelType w:val="hybridMultilevel"/>
    <w:tmpl w:val="292CCB96"/>
    <w:lvl w:ilvl="0" w:tplc="0C0A0001">
      <w:start w:val="1"/>
      <w:numFmt w:val="bullet"/>
      <w:lvlText w:val=""/>
      <w:lvlJc w:val="left"/>
      <w:pPr>
        <w:tabs>
          <w:tab w:val="num" w:pos="1077"/>
        </w:tabs>
        <w:ind w:left="1077" w:hanging="360"/>
      </w:pPr>
      <w:rPr>
        <w:rFonts w:ascii="Symbol" w:hAnsi="Symbol" w:hint="default"/>
      </w:rPr>
    </w:lvl>
    <w:lvl w:ilvl="1" w:tplc="0C0A0003" w:tentative="1">
      <w:start w:val="1"/>
      <w:numFmt w:val="bullet"/>
      <w:lvlText w:val="o"/>
      <w:lvlJc w:val="left"/>
      <w:pPr>
        <w:tabs>
          <w:tab w:val="num" w:pos="1797"/>
        </w:tabs>
        <w:ind w:left="1797" w:hanging="360"/>
      </w:pPr>
      <w:rPr>
        <w:rFonts w:ascii="Courier New" w:hAnsi="Courier New" w:hint="default"/>
      </w:rPr>
    </w:lvl>
    <w:lvl w:ilvl="2" w:tplc="0C0A0005" w:tentative="1">
      <w:start w:val="1"/>
      <w:numFmt w:val="bullet"/>
      <w:lvlText w:val=""/>
      <w:lvlJc w:val="left"/>
      <w:pPr>
        <w:tabs>
          <w:tab w:val="num" w:pos="2517"/>
        </w:tabs>
        <w:ind w:left="2517" w:hanging="360"/>
      </w:pPr>
      <w:rPr>
        <w:rFonts w:ascii="Wingdings" w:hAnsi="Wingdings" w:hint="default"/>
      </w:rPr>
    </w:lvl>
    <w:lvl w:ilvl="3" w:tplc="0C0A0001" w:tentative="1">
      <w:start w:val="1"/>
      <w:numFmt w:val="bullet"/>
      <w:lvlText w:val=""/>
      <w:lvlJc w:val="left"/>
      <w:pPr>
        <w:tabs>
          <w:tab w:val="num" w:pos="3237"/>
        </w:tabs>
        <w:ind w:left="3237" w:hanging="360"/>
      </w:pPr>
      <w:rPr>
        <w:rFonts w:ascii="Symbol" w:hAnsi="Symbol" w:hint="default"/>
      </w:rPr>
    </w:lvl>
    <w:lvl w:ilvl="4" w:tplc="0C0A0003" w:tentative="1">
      <w:start w:val="1"/>
      <w:numFmt w:val="bullet"/>
      <w:lvlText w:val="o"/>
      <w:lvlJc w:val="left"/>
      <w:pPr>
        <w:tabs>
          <w:tab w:val="num" w:pos="3957"/>
        </w:tabs>
        <w:ind w:left="3957" w:hanging="360"/>
      </w:pPr>
      <w:rPr>
        <w:rFonts w:ascii="Courier New" w:hAnsi="Courier New" w:hint="default"/>
      </w:rPr>
    </w:lvl>
    <w:lvl w:ilvl="5" w:tplc="0C0A0005" w:tentative="1">
      <w:start w:val="1"/>
      <w:numFmt w:val="bullet"/>
      <w:lvlText w:val=""/>
      <w:lvlJc w:val="left"/>
      <w:pPr>
        <w:tabs>
          <w:tab w:val="num" w:pos="4677"/>
        </w:tabs>
        <w:ind w:left="4677" w:hanging="360"/>
      </w:pPr>
      <w:rPr>
        <w:rFonts w:ascii="Wingdings" w:hAnsi="Wingdings" w:hint="default"/>
      </w:rPr>
    </w:lvl>
    <w:lvl w:ilvl="6" w:tplc="0C0A0001" w:tentative="1">
      <w:start w:val="1"/>
      <w:numFmt w:val="bullet"/>
      <w:lvlText w:val=""/>
      <w:lvlJc w:val="left"/>
      <w:pPr>
        <w:tabs>
          <w:tab w:val="num" w:pos="5397"/>
        </w:tabs>
        <w:ind w:left="5397" w:hanging="360"/>
      </w:pPr>
      <w:rPr>
        <w:rFonts w:ascii="Symbol" w:hAnsi="Symbol" w:hint="default"/>
      </w:rPr>
    </w:lvl>
    <w:lvl w:ilvl="7" w:tplc="0C0A0003" w:tentative="1">
      <w:start w:val="1"/>
      <w:numFmt w:val="bullet"/>
      <w:lvlText w:val="o"/>
      <w:lvlJc w:val="left"/>
      <w:pPr>
        <w:tabs>
          <w:tab w:val="num" w:pos="6117"/>
        </w:tabs>
        <w:ind w:left="6117" w:hanging="360"/>
      </w:pPr>
      <w:rPr>
        <w:rFonts w:ascii="Courier New" w:hAnsi="Courier New" w:hint="default"/>
      </w:rPr>
    </w:lvl>
    <w:lvl w:ilvl="8" w:tplc="0C0A0005" w:tentative="1">
      <w:start w:val="1"/>
      <w:numFmt w:val="bullet"/>
      <w:lvlText w:val=""/>
      <w:lvlJc w:val="left"/>
      <w:pPr>
        <w:tabs>
          <w:tab w:val="num" w:pos="6837"/>
        </w:tabs>
        <w:ind w:left="6837" w:hanging="360"/>
      </w:pPr>
      <w:rPr>
        <w:rFonts w:ascii="Wingdings" w:hAnsi="Wingdings" w:hint="default"/>
      </w:rPr>
    </w:lvl>
  </w:abstractNum>
  <w:abstractNum w:abstractNumId="19" w15:restartNumberingAfterBreak="0">
    <w:nsid w:val="58A86C3D"/>
    <w:multiLevelType w:val="multilevel"/>
    <w:tmpl w:val="CB5AB424"/>
    <w:styleLink w:val="WWNum3"/>
    <w:lvl w:ilvl="0">
      <w:start w:val="1"/>
      <w:numFmt w:val="decimal"/>
      <w:lvlText w:val="%1."/>
      <w:lvlJc w:val="left"/>
      <w:pPr>
        <w:ind w:left="502" w:hanging="360"/>
      </w:pPr>
    </w:lvl>
    <w:lvl w:ilvl="1">
      <w:start w:val="1"/>
      <w:numFmt w:val="decimal"/>
      <w:lvlText w:val="%1.%2."/>
      <w:lvlJc w:val="left"/>
      <w:pPr>
        <w:ind w:left="862" w:hanging="720"/>
      </w:pPr>
      <w:rPr>
        <w:b/>
        <w:bCs/>
      </w:rPr>
    </w:lvl>
    <w:lvl w:ilvl="2">
      <w:start w:val="1"/>
      <w:numFmt w:val="decimal"/>
      <w:lvlText w:val="%1.%2.%3."/>
      <w:lvlJc w:val="left"/>
      <w:pPr>
        <w:ind w:left="2520" w:hanging="720"/>
      </w:pPr>
    </w:lvl>
    <w:lvl w:ilvl="3">
      <w:start w:val="1"/>
      <w:numFmt w:val="decimal"/>
      <w:lvlText w:val="%1.%2.%3.%4."/>
      <w:lvlJc w:val="left"/>
      <w:pPr>
        <w:ind w:left="3600" w:hanging="1080"/>
      </w:pPr>
    </w:lvl>
    <w:lvl w:ilvl="4">
      <w:start w:val="1"/>
      <w:numFmt w:val="decimal"/>
      <w:lvlText w:val="%1.%2.%3.%4.%5."/>
      <w:lvlJc w:val="left"/>
      <w:pPr>
        <w:ind w:left="4320" w:hanging="1080"/>
      </w:pPr>
    </w:lvl>
    <w:lvl w:ilvl="5">
      <w:start w:val="1"/>
      <w:numFmt w:val="decimal"/>
      <w:lvlText w:val="%1.%2.%3.%4.%5.%6."/>
      <w:lvlJc w:val="left"/>
      <w:pPr>
        <w:ind w:left="5400" w:hanging="1440"/>
      </w:pPr>
    </w:lvl>
    <w:lvl w:ilvl="6">
      <w:start w:val="1"/>
      <w:numFmt w:val="decimal"/>
      <w:lvlText w:val="%1.%2.%3.%4.%5.%6.%7."/>
      <w:lvlJc w:val="left"/>
      <w:pPr>
        <w:ind w:left="6120" w:hanging="1440"/>
      </w:pPr>
    </w:lvl>
    <w:lvl w:ilvl="7">
      <w:start w:val="1"/>
      <w:numFmt w:val="decimal"/>
      <w:lvlText w:val="%1.%2.%3.%4.%5.%6.%7.%8."/>
      <w:lvlJc w:val="left"/>
      <w:pPr>
        <w:ind w:left="7200" w:hanging="1800"/>
      </w:pPr>
    </w:lvl>
    <w:lvl w:ilvl="8">
      <w:start w:val="1"/>
      <w:numFmt w:val="decimal"/>
      <w:lvlText w:val="%1.%2.%3.%4.%5.%6.%7.%8.%9."/>
      <w:lvlJc w:val="left"/>
      <w:pPr>
        <w:ind w:left="8280" w:hanging="2160"/>
      </w:pPr>
    </w:lvl>
  </w:abstractNum>
  <w:abstractNum w:abstractNumId="20" w15:restartNumberingAfterBreak="0">
    <w:nsid w:val="5B4707F1"/>
    <w:multiLevelType w:val="hybridMultilevel"/>
    <w:tmpl w:val="3DD47A40"/>
    <w:lvl w:ilvl="0" w:tplc="6170A090">
      <w:start w:val="10"/>
      <w:numFmt w:val="bullet"/>
      <w:lvlText w:val=""/>
      <w:lvlJc w:val="left"/>
      <w:pPr>
        <w:ind w:left="720" w:hanging="360"/>
      </w:pPr>
      <w:rPr>
        <w:rFonts w:ascii="Wingdings" w:eastAsiaTheme="minorHAnsi" w:hAnsi="Wingdings" w:cs="Times New Roman"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15:restartNumberingAfterBreak="0">
    <w:nsid w:val="6319017A"/>
    <w:multiLevelType w:val="multilevel"/>
    <w:tmpl w:val="91CCBD06"/>
    <w:lvl w:ilvl="0">
      <w:start w:val="3"/>
      <w:numFmt w:val="decimal"/>
      <w:lvlText w:val="%1."/>
      <w:lvlJc w:val="left"/>
      <w:pPr>
        <w:ind w:left="390" w:hanging="390"/>
      </w:pPr>
      <w:rPr>
        <w:rFonts w:hint="default"/>
      </w:rPr>
    </w:lvl>
    <w:lvl w:ilvl="1">
      <w:start w:val="1"/>
      <w:numFmt w:val="decimal"/>
      <w:lvlText w:val="%1.%2."/>
      <w:lvlJc w:val="left"/>
      <w:pPr>
        <w:ind w:left="1222" w:hanging="720"/>
      </w:pPr>
      <w:rPr>
        <w:rFonts w:hint="default"/>
      </w:rPr>
    </w:lvl>
    <w:lvl w:ilvl="2">
      <w:start w:val="1"/>
      <w:numFmt w:val="decimal"/>
      <w:lvlText w:val="%1.%2.%3."/>
      <w:lvlJc w:val="left"/>
      <w:pPr>
        <w:ind w:left="1724"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5314" w:hanging="1800"/>
      </w:pPr>
      <w:rPr>
        <w:rFonts w:hint="default"/>
      </w:rPr>
    </w:lvl>
    <w:lvl w:ilvl="8">
      <w:start w:val="1"/>
      <w:numFmt w:val="decimal"/>
      <w:lvlText w:val="%1.%2.%3.%4.%5.%6.%7.%8.%9."/>
      <w:lvlJc w:val="left"/>
      <w:pPr>
        <w:ind w:left="6176" w:hanging="2160"/>
      </w:pPr>
      <w:rPr>
        <w:rFonts w:hint="default"/>
      </w:rPr>
    </w:lvl>
  </w:abstractNum>
  <w:abstractNum w:abstractNumId="22" w15:restartNumberingAfterBreak="0">
    <w:nsid w:val="769045B3"/>
    <w:multiLevelType w:val="multilevel"/>
    <w:tmpl w:val="BABC3A9A"/>
    <w:lvl w:ilvl="0">
      <w:start w:val="1"/>
      <w:numFmt w:val="decimal"/>
      <w:lvlText w:val="%1."/>
      <w:lvlJc w:val="left"/>
      <w:pPr>
        <w:tabs>
          <w:tab w:val="left" w:pos="708"/>
          <w:tab w:val="left" w:pos="1416"/>
          <w:tab w:val="left" w:pos="2124"/>
          <w:tab w:val="left" w:pos="2832"/>
          <w:tab w:val="left" w:pos="3540"/>
          <w:tab w:val="left" w:pos="4248"/>
          <w:tab w:val="center" w:pos="4252"/>
          <w:tab w:val="left" w:pos="4956"/>
          <w:tab w:val="left" w:pos="5664"/>
          <w:tab w:val="left" w:pos="6372"/>
          <w:tab w:val="left" w:pos="7080"/>
          <w:tab w:val="left" w:pos="7788"/>
          <w:tab w:val="left" w:pos="8496"/>
          <w:tab w:val="right" w:pos="8504"/>
          <w:tab w:val="left" w:pos="8520"/>
        </w:tabs>
        <w:ind w:left="502"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left" w:pos="1416"/>
          <w:tab w:val="left" w:pos="2124"/>
          <w:tab w:val="left" w:pos="2832"/>
          <w:tab w:val="left" w:pos="3540"/>
          <w:tab w:val="left" w:pos="4248"/>
          <w:tab w:val="center" w:pos="4252"/>
          <w:tab w:val="left" w:pos="4956"/>
          <w:tab w:val="left" w:pos="5664"/>
          <w:tab w:val="left" w:pos="6372"/>
          <w:tab w:val="left" w:pos="7080"/>
          <w:tab w:val="left" w:pos="7788"/>
          <w:tab w:val="left" w:pos="8496"/>
          <w:tab w:val="right" w:pos="8504"/>
          <w:tab w:val="left" w:pos="8520"/>
        </w:tabs>
        <w:ind w:left="708" w:hanging="20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left" w:pos="708"/>
          <w:tab w:val="left" w:pos="1416"/>
          <w:tab w:val="left" w:pos="2124"/>
          <w:tab w:val="left" w:pos="2832"/>
          <w:tab w:val="left" w:pos="3540"/>
          <w:tab w:val="left" w:pos="4248"/>
          <w:tab w:val="center" w:pos="4252"/>
          <w:tab w:val="left" w:pos="4956"/>
          <w:tab w:val="left" w:pos="5664"/>
          <w:tab w:val="left" w:pos="6372"/>
          <w:tab w:val="left" w:pos="7080"/>
          <w:tab w:val="left" w:pos="7788"/>
          <w:tab w:val="left" w:pos="8496"/>
          <w:tab w:val="right" w:pos="8504"/>
          <w:tab w:val="left" w:pos="8520"/>
        </w:tabs>
        <w:ind w:left="1366" w:hanging="50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left" w:pos="708"/>
          <w:tab w:val="left" w:pos="2124"/>
          <w:tab w:val="left" w:pos="2832"/>
          <w:tab w:val="left" w:pos="3540"/>
          <w:tab w:val="left" w:pos="4248"/>
          <w:tab w:val="center" w:pos="4252"/>
          <w:tab w:val="left" w:pos="4956"/>
          <w:tab w:val="left" w:pos="5664"/>
          <w:tab w:val="left" w:pos="6372"/>
          <w:tab w:val="left" w:pos="7080"/>
          <w:tab w:val="left" w:pos="7788"/>
          <w:tab w:val="left" w:pos="8496"/>
          <w:tab w:val="right" w:pos="8504"/>
          <w:tab w:val="left" w:pos="8520"/>
        </w:tabs>
        <w:ind w:left="1416" w:hanging="19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left" w:pos="708"/>
          <w:tab w:val="left" w:pos="1416"/>
          <w:tab w:val="left" w:pos="2832"/>
          <w:tab w:val="left" w:pos="3540"/>
          <w:tab w:val="left" w:pos="4248"/>
          <w:tab w:val="center" w:pos="4252"/>
          <w:tab w:val="left" w:pos="4956"/>
          <w:tab w:val="left" w:pos="5664"/>
          <w:tab w:val="left" w:pos="6372"/>
          <w:tab w:val="left" w:pos="7080"/>
          <w:tab w:val="left" w:pos="7788"/>
          <w:tab w:val="left" w:pos="8496"/>
          <w:tab w:val="right" w:pos="8504"/>
          <w:tab w:val="left" w:pos="8520"/>
        </w:tabs>
        <w:ind w:left="2124" w:hanging="54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left" w:pos="708"/>
          <w:tab w:val="left" w:pos="1416"/>
          <w:tab w:val="left" w:pos="2832"/>
          <w:tab w:val="left" w:pos="3540"/>
          <w:tab w:val="left" w:pos="4248"/>
          <w:tab w:val="center" w:pos="4252"/>
          <w:tab w:val="left" w:pos="4956"/>
          <w:tab w:val="left" w:pos="5664"/>
          <w:tab w:val="left" w:pos="6372"/>
          <w:tab w:val="left" w:pos="7080"/>
          <w:tab w:val="left" w:pos="7788"/>
          <w:tab w:val="left" w:pos="8496"/>
          <w:tab w:val="right" w:pos="8504"/>
          <w:tab w:val="left" w:pos="8520"/>
        </w:tabs>
        <w:ind w:left="2124" w:hanging="18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tabs>
          <w:tab w:val="left" w:pos="708"/>
          <w:tab w:val="left" w:pos="1416"/>
          <w:tab w:val="left" w:pos="2124"/>
          <w:tab w:val="left" w:pos="3540"/>
          <w:tab w:val="left" w:pos="4248"/>
          <w:tab w:val="center" w:pos="4252"/>
          <w:tab w:val="left" w:pos="4956"/>
          <w:tab w:val="left" w:pos="5664"/>
          <w:tab w:val="left" w:pos="6372"/>
          <w:tab w:val="left" w:pos="7080"/>
          <w:tab w:val="left" w:pos="7788"/>
          <w:tab w:val="left" w:pos="8496"/>
          <w:tab w:val="right" w:pos="8504"/>
          <w:tab w:val="left" w:pos="8520"/>
        </w:tabs>
        <w:ind w:left="2832" w:hanging="53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left" w:pos="708"/>
          <w:tab w:val="left" w:pos="1416"/>
          <w:tab w:val="left" w:pos="2124"/>
          <w:tab w:val="left" w:pos="3540"/>
          <w:tab w:val="left" w:pos="4248"/>
          <w:tab w:val="center" w:pos="4252"/>
          <w:tab w:val="left" w:pos="4956"/>
          <w:tab w:val="left" w:pos="5664"/>
          <w:tab w:val="left" w:pos="6372"/>
          <w:tab w:val="left" w:pos="7080"/>
          <w:tab w:val="left" w:pos="7788"/>
          <w:tab w:val="left" w:pos="8496"/>
          <w:tab w:val="right" w:pos="8504"/>
          <w:tab w:val="left" w:pos="8520"/>
        </w:tabs>
        <w:ind w:left="2832" w:hanging="17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tabs>
          <w:tab w:val="left" w:pos="708"/>
          <w:tab w:val="left" w:pos="1416"/>
          <w:tab w:val="left" w:pos="2124"/>
          <w:tab w:val="left" w:pos="2832"/>
          <w:tab w:val="left" w:pos="4248"/>
          <w:tab w:val="center" w:pos="4252"/>
          <w:tab w:val="left" w:pos="4956"/>
          <w:tab w:val="left" w:pos="5664"/>
          <w:tab w:val="left" w:pos="6372"/>
          <w:tab w:val="left" w:pos="7080"/>
          <w:tab w:val="left" w:pos="7788"/>
          <w:tab w:val="left" w:pos="8496"/>
          <w:tab w:val="right" w:pos="8504"/>
          <w:tab w:val="left" w:pos="8520"/>
        </w:tabs>
        <w:ind w:left="3540" w:hanging="518"/>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 w15:restartNumberingAfterBreak="0">
    <w:nsid w:val="77D462A8"/>
    <w:multiLevelType w:val="hybridMultilevel"/>
    <w:tmpl w:val="93F816DE"/>
    <w:lvl w:ilvl="0" w:tplc="37AEA014">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784D0517"/>
    <w:multiLevelType w:val="hybridMultilevel"/>
    <w:tmpl w:val="ED9C41EE"/>
    <w:lvl w:ilvl="0" w:tplc="04160019">
      <w:start w:val="1"/>
      <w:numFmt w:val="lowerLetter"/>
      <w:lvlText w:val="%1."/>
      <w:lvlJc w:val="left"/>
      <w:pPr>
        <w:ind w:left="720" w:hanging="360"/>
      </w:pPr>
      <w:rPr>
        <w:rFonts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25" w15:restartNumberingAfterBreak="0">
    <w:nsid w:val="78FB0F42"/>
    <w:multiLevelType w:val="hybridMultilevel"/>
    <w:tmpl w:val="8CA295C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7E7368E5"/>
    <w:multiLevelType w:val="multilevel"/>
    <w:tmpl w:val="BBA05DCE"/>
    <w:lvl w:ilvl="0">
      <w:start w:val="1"/>
      <w:numFmt w:val="decimal"/>
      <w:lvlText w:val="%1."/>
      <w:lvlJc w:val="left"/>
      <w:pPr>
        <w:ind w:left="390" w:hanging="390"/>
      </w:pPr>
      <w:rPr>
        <w:rFonts w:hint="default"/>
        <w:b/>
      </w:rPr>
    </w:lvl>
    <w:lvl w:ilvl="1">
      <w:start w:val="1"/>
      <w:numFmt w:val="decimal"/>
      <w:lvlText w:val="%1.%2."/>
      <w:lvlJc w:val="left"/>
      <w:pPr>
        <w:ind w:left="1440" w:hanging="720"/>
      </w:pPr>
      <w:rPr>
        <w:rFonts w:hint="default"/>
        <w:b/>
        <w:color w:val="auto"/>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num w:numId="1" w16cid:durableId="882987498">
    <w:abstractNumId w:val="14"/>
  </w:num>
  <w:num w:numId="2" w16cid:durableId="1134912744">
    <w:abstractNumId w:val="11"/>
  </w:num>
  <w:num w:numId="3" w16cid:durableId="696201855">
    <w:abstractNumId w:val="19"/>
  </w:num>
  <w:num w:numId="4" w16cid:durableId="1912426357">
    <w:abstractNumId w:val="8"/>
  </w:num>
  <w:num w:numId="5" w16cid:durableId="466629781">
    <w:abstractNumId w:val="6"/>
  </w:num>
  <w:num w:numId="6" w16cid:durableId="1565026808">
    <w:abstractNumId w:val="24"/>
  </w:num>
  <w:num w:numId="7" w16cid:durableId="1272124081">
    <w:abstractNumId w:val="2"/>
  </w:num>
  <w:num w:numId="8" w16cid:durableId="1292130155">
    <w:abstractNumId w:val="10"/>
  </w:num>
  <w:num w:numId="9" w16cid:durableId="1290746538">
    <w:abstractNumId w:val="4"/>
  </w:num>
  <w:num w:numId="10" w16cid:durableId="949241283">
    <w:abstractNumId w:val="23"/>
  </w:num>
  <w:num w:numId="11" w16cid:durableId="2014605108">
    <w:abstractNumId w:val="20"/>
  </w:num>
  <w:num w:numId="12" w16cid:durableId="26875872">
    <w:abstractNumId w:val="16"/>
  </w:num>
  <w:num w:numId="13" w16cid:durableId="234750451">
    <w:abstractNumId w:val="9"/>
  </w:num>
  <w:num w:numId="14" w16cid:durableId="1911038638">
    <w:abstractNumId w:val="13"/>
  </w:num>
  <w:num w:numId="15" w16cid:durableId="2096124179">
    <w:abstractNumId w:val="17"/>
    <w:lvlOverride w:ilvl="1">
      <w:lvl w:ilvl="1">
        <w:start w:val="1"/>
        <w:numFmt w:val="decimal"/>
        <w:lvlText w:val="%1.%2."/>
        <w:lvlJc w:val="left"/>
        <w:pPr>
          <w:tabs>
            <w:tab w:val="left" w:pos="1416"/>
            <w:tab w:val="left" w:pos="2124"/>
            <w:tab w:val="left" w:pos="2832"/>
            <w:tab w:val="left" w:pos="3540"/>
            <w:tab w:val="left" w:pos="4248"/>
            <w:tab w:val="center" w:pos="4252"/>
            <w:tab w:val="left" w:pos="4956"/>
            <w:tab w:val="left" w:pos="5664"/>
            <w:tab w:val="left" w:pos="6372"/>
            <w:tab w:val="left" w:pos="7080"/>
            <w:tab w:val="left" w:pos="7788"/>
            <w:tab w:val="left" w:pos="8496"/>
            <w:tab w:val="right" w:pos="8504"/>
            <w:tab w:val="left" w:pos="8520"/>
          </w:tabs>
          <w:ind w:left="708" w:hanging="206"/>
        </w:pPr>
        <w:rPr>
          <w:rFonts w:ascii="Arial" w:hAnsi="Arial" w:cs="Arial" w:hint="default"/>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2">
      <w:lvl w:ilvl="2">
        <w:start w:val="1"/>
        <w:numFmt w:val="decimal"/>
        <w:lvlText w:val="%1.%2.%3."/>
        <w:lvlJc w:val="left"/>
        <w:pPr>
          <w:tabs>
            <w:tab w:val="left" w:pos="708"/>
            <w:tab w:val="left" w:pos="1416"/>
            <w:tab w:val="left" w:pos="2124"/>
            <w:tab w:val="left" w:pos="2832"/>
            <w:tab w:val="left" w:pos="3540"/>
            <w:tab w:val="left" w:pos="4248"/>
            <w:tab w:val="center" w:pos="4252"/>
            <w:tab w:val="left" w:pos="4956"/>
            <w:tab w:val="left" w:pos="5664"/>
            <w:tab w:val="left" w:pos="6372"/>
            <w:tab w:val="left" w:pos="7080"/>
            <w:tab w:val="left" w:pos="7788"/>
            <w:tab w:val="left" w:pos="8496"/>
            <w:tab w:val="right" w:pos="8504"/>
            <w:tab w:val="left" w:pos="8520"/>
          </w:tabs>
          <w:ind w:left="1366" w:hanging="504"/>
        </w:pPr>
        <w:rPr>
          <w:rFonts w:hAnsi="Arial Unicode MS"/>
          <w:b/>
          <w:bCs/>
          <w:caps w:val="0"/>
          <w:smallCaps w:val="0"/>
          <w:strike w:val="0"/>
          <w:dstrike w:val="0"/>
          <w:color w:val="auto"/>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num>
  <w:num w:numId="16" w16cid:durableId="1460226577">
    <w:abstractNumId w:val="22"/>
  </w:num>
  <w:num w:numId="17" w16cid:durableId="1534541565">
    <w:abstractNumId w:val="21"/>
  </w:num>
  <w:num w:numId="18" w16cid:durableId="1664165947">
    <w:abstractNumId w:val="3"/>
  </w:num>
  <w:num w:numId="19" w16cid:durableId="1088962190">
    <w:abstractNumId w:val="1"/>
  </w:num>
  <w:num w:numId="20" w16cid:durableId="415053197">
    <w:abstractNumId w:val="26"/>
  </w:num>
  <w:num w:numId="21" w16cid:durableId="1335108653">
    <w:abstractNumId w:val="7"/>
  </w:num>
  <w:num w:numId="22" w16cid:durableId="213010938">
    <w:abstractNumId w:val="15"/>
  </w:num>
  <w:num w:numId="23" w16cid:durableId="1229264676">
    <w:abstractNumId w:val="5"/>
  </w:num>
  <w:num w:numId="24" w16cid:durableId="434785894">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033341900">
    <w:abstractNumId w:val="25"/>
  </w:num>
  <w:num w:numId="26" w16cid:durableId="338898291">
    <w:abstractNumId w:val="1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activeWritingStyle w:appName="MSWord" w:lang="es-UY" w:vendorID="64" w:dllVersion="0" w:nlCheck="1" w:checkStyle="0"/>
  <w:activeWritingStyle w:appName="MSWord" w:lang="pt-B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6388"/>
    <w:rsid w:val="000003B2"/>
    <w:rsid w:val="000010EE"/>
    <w:rsid w:val="000024A0"/>
    <w:rsid w:val="00003A45"/>
    <w:rsid w:val="0000489F"/>
    <w:rsid w:val="0000498D"/>
    <w:rsid w:val="000059C8"/>
    <w:rsid w:val="00010710"/>
    <w:rsid w:val="000108BE"/>
    <w:rsid w:val="00010F9F"/>
    <w:rsid w:val="00026393"/>
    <w:rsid w:val="00026AE5"/>
    <w:rsid w:val="000335A4"/>
    <w:rsid w:val="00034B65"/>
    <w:rsid w:val="00040BA1"/>
    <w:rsid w:val="00041E21"/>
    <w:rsid w:val="00046805"/>
    <w:rsid w:val="00050AFB"/>
    <w:rsid w:val="000520BA"/>
    <w:rsid w:val="00052F5D"/>
    <w:rsid w:val="00053704"/>
    <w:rsid w:val="00056DDA"/>
    <w:rsid w:val="00057860"/>
    <w:rsid w:val="0005793F"/>
    <w:rsid w:val="00060138"/>
    <w:rsid w:val="00063C64"/>
    <w:rsid w:val="000646EA"/>
    <w:rsid w:val="0008210E"/>
    <w:rsid w:val="00084BE2"/>
    <w:rsid w:val="00091DC1"/>
    <w:rsid w:val="00094D3D"/>
    <w:rsid w:val="0009516D"/>
    <w:rsid w:val="00096D07"/>
    <w:rsid w:val="000A0F67"/>
    <w:rsid w:val="000A3D8F"/>
    <w:rsid w:val="000A4775"/>
    <w:rsid w:val="000A510A"/>
    <w:rsid w:val="000B019A"/>
    <w:rsid w:val="000B4538"/>
    <w:rsid w:val="000C3FDF"/>
    <w:rsid w:val="000C4B5D"/>
    <w:rsid w:val="000C5F37"/>
    <w:rsid w:val="000C78B1"/>
    <w:rsid w:val="000D0DBA"/>
    <w:rsid w:val="000D233F"/>
    <w:rsid w:val="000D2BAE"/>
    <w:rsid w:val="000D3BCB"/>
    <w:rsid w:val="000D64D8"/>
    <w:rsid w:val="000E0A7F"/>
    <w:rsid w:val="000E3B2A"/>
    <w:rsid w:val="000E5EE3"/>
    <w:rsid w:val="000E6E60"/>
    <w:rsid w:val="000F70A6"/>
    <w:rsid w:val="00100DCE"/>
    <w:rsid w:val="00101BD2"/>
    <w:rsid w:val="001046FA"/>
    <w:rsid w:val="00105503"/>
    <w:rsid w:val="00106591"/>
    <w:rsid w:val="0011542A"/>
    <w:rsid w:val="001220EA"/>
    <w:rsid w:val="00122C9D"/>
    <w:rsid w:val="001240E9"/>
    <w:rsid w:val="001260F1"/>
    <w:rsid w:val="00127411"/>
    <w:rsid w:val="00127623"/>
    <w:rsid w:val="00131748"/>
    <w:rsid w:val="00131895"/>
    <w:rsid w:val="00131F75"/>
    <w:rsid w:val="00132AA3"/>
    <w:rsid w:val="00136BA8"/>
    <w:rsid w:val="00136C51"/>
    <w:rsid w:val="00137038"/>
    <w:rsid w:val="00140958"/>
    <w:rsid w:val="00141E0A"/>
    <w:rsid w:val="00141E8F"/>
    <w:rsid w:val="001520EA"/>
    <w:rsid w:val="00152A88"/>
    <w:rsid w:val="0015442E"/>
    <w:rsid w:val="00154B23"/>
    <w:rsid w:val="0015734A"/>
    <w:rsid w:val="00163F64"/>
    <w:rsid w:val="00164112"/>
    <w:rsid w:val="00164AA4"/>
    <w:rsid w:val="001727EA"/>
    <w:rsid w:val="001731DB"/>
    <w:rsid w:val="00180C5E"/>
    <w:rsid w:val="00185B10"/>
    <w:rsid w:val="00186C18"/>
    <w:rsid w:val="00192665"/>
    <w:rsid w:val="00192E0F"/>
    <w:rsid w:val="00194CA5"/>
    <w:rsid w:val="00196367"/>
    <w:rsid w:val="001A4E00"/>
    <w:rsid w:val="001B0846"/>
    <w:rsid w:val="001B08CB"/>
    <w:rsid w:val="001B1A4D"/>
    <w:rsid w:val="001B58A7"/>
    <w:rsid w:val="001B736B"/>
    <w:rsid w:val="001B772A"/>
    <w:rsid w:val="001B7BFD"/>
    <w:rsid w:val="001C0B26"/>
    <w:rsid w:val="001C19F6"/>
    <w:rsid w:val="001C1C00"/>
    <w:rsid w:val="001C50D2"/>
    <w:rsid w:val="001C7DCD"/>
    <w:rsid w:val="001D290B"/>
    <w:rsid w:val="001D3C1C"/>
    <w:rsid w:val="001D5622"/>
    <w:rsid w:val="001D6388"/>
    <w:rsid w:val="001D785F"/>
    <w:rsid w:val="001E0AF3"/>
    <w:rsid w:val="001E0BDD"/>
    <w:rsid w:val="001E16B5"/>
    <w:rsid w:val="001E295E"/>
    <w:rsid w:val="001E37F5"/>
    <w:rsid w:val="001E3E71"/>
    <w:rsid w:val="001F2A59"/>
    <w:rsid w:val="00201ECA"/>
    <w:rsid w:val="00202234"/>
    <w:rsid w:val="00203D08"/>
    <w:rsid w:val="00204449"/>
    <w:rsid w:val="00204679"/>
    <w:rsid w:val="00206720"/>
    <w:rsid w:val="00211A88"/>
    <w:rsid w:val="00213792"/>
    <w:rsid w:val="00214487"/>
    <w:rsid w:val="0021490B"/>
    <w:rsid w:val="0021691F"/>
    <w:rsid w:val="00220A0D"/>
    <w:rsid w:val="00222AA0"/>
    <w:rsid w:val="00223386"/>
    <w:rsid w:val="0022667F"/>
    <w:rsid w:val="00230751"/>
    <w:rsid w:val="00230E41"/>
    <w:rsid w:val="00234CC2"/>
    <w:rsid w:val="00236D1D"/>
    <w:rsid w:val="00237FA0"/>
    <w:rsid w:val="0024313F"/>
    <w:rsid w:val="00244C62"/>
    <w:rsid w:val="002471B7"/>
    <w:rsid w:val="002544BC"/>
    <w:rsid w:val="00256BC3"/>
    <w:rsid w:val="00260962"/>
    <w:rsid w:val="0026356C"/>
    <w:rsid w:val="0026553B"/>
    <w:rsid w:val="00267464"/>
    <w:rsid w:val="0027184D"/>
    <w:rsid w:val="002739D0"/>
    <w:rsid w:val="00275D10"/>
    <w:rsid w:val="00275D91"/>
    <w:rsid w:val="00276F4B"/>
    <w:rsid w:val="002776F3"/>
    <w:rsid w:val="00283555"/>
    <w:rsid w:val="002909AC"/>
    <w:rsid w:val="00291D16"/>
    <w:rsid w:val="00296DF7"/>
    <w:rsid w:val="002973AF"/>
    <w:rsid w:val="00297F24"/>
    <w:rsid w:val="002A1B34"/>
    <w:rsid w:val="002A4F6E"/>
    <w:rsid w:val="002A6437"/>
    <w:rsid w:val="002B306B"/>
    <w:rsid w:val="002B7A6E"/>
    <w:rsid w:val="002C3E04"/>
    <w:rsid w:val="002C6DB7"/>
    <w:rsid w:val="002D4431"/>
    <w:rsid w:val="002D74C7"/>
    <w:rsid w:val="002D7B65"/>
    <w:rsid w:val="002E3288"/>
    <w:rsid w:val="002E3B95"/>
    <w:rsid w:val="002E4927"/>
    <w:rsid w:val="002F0425"/>
    <w:rsid w:val="002F133D"/>
    <w:rsid w:val="002F3BE0"/>
    <w:rsid w:val="002F6FD0"/>
    <w:rsid w:val="002F7033"/>
    <w:rsid w:val="002F7942"/>
    <w:rsid w:val="00304728"/>
    <w:rsid w:val="00304EF3"/>
    <w:rsid w:val="003073AB"/>
    <w:rsid w:val="00313F74"/>
    <w:rsid w:val="003158C9"/>
    <w:rsid w:val="003164E9"/>
    <w:rsid w:val="0032089C"/>
    <w:rsid w:val="00320A28"/>
    <w:rsid w:val="003225CE"/>
    <w:rsid w:val="00322B85"/>
    <w:rsid w:val="00323955"/>
    <w:rsid w:val="00325EB5"/>
    <w:rsid w:val="0032767E"/>
    <w:rsid w:val="00327A21"/>
    <w:rsid w:val="00330F07"/>
    <w:rsid w:val="00335C19"/>
    <w:rsid w:val="00335FB0"/>
    <w:rsid w:val="003376EA"/>
    <w:rsid w:val="00340BA2"/>
    <w:rsid w:val="00341151"/>
    <w:rsid w:val="00341944"/>
    <w:rsid w:val="00343525"/>
    <w:rsid w:val="00345189"/>
    <w:rsid w:val="00346AF3"/>
    <w:rsid w:val="00350F5F"/>
    <w:rsid w:val="00355FC6"/>
    <w:rsid w:val="00360DA9"/>
    <w:rsid w:val="00364235"/>
    <w:rsid w:val="00370862"/>
    <w:rsid w:val="00371FDB"/>
    <w:rsid w:val="00372CAF"/>
    <w:rsid w:val="0037371D"/>
    <w:rsid w:val="00374568"/>
    <w:rsid w:val="00374587"/>
    <w:rsid w:val="00375D59"/>
    <w:rsid w:val="00377A3E"/>
    <w:rsid w:val="003827BB"/>
    <w:rsid w:val="0038357F"/>
    <w:rsid w:val="0038602C"/>
    <w:rsid w:val="003903E8"/>
    <w:rsid w:val="0039259F"/>
    <w:rsid w:val="00392A24"/>
    <w:rsid w:val="00394484"/>
    <w:rsid w:val="00395580"/>
    <w:rsid w:val="003966C0"/>
    <w:rsid w:val="003979BE"/>
    <w:rsid w:val="003A0566"/>
    <w:rsid w:val="003A1F68"/>
    <w:rsid w:val="003A619B"/>
    <w:rsid w:val="003B2E4D"/>
    <w:rsid w:val="003B3F9E"/>
    <w:rsid w:val="003B606B"/>
    <w:rsid w:val="003B64BB"/>
    <w:rsid w:val="003B7DCF"/>
    <w:rsid w:val="003C3A98"/>
    <w:rsid w:val="003C41B6"/>
    <w:rsid w:val="003C480C"/>
    <w:rsid w:val="003D03D6"/>
    <w:rsid w:val="003D1C9C"/>
    <w:rsid w:val="003D2449"/>
    <w:rsid w:val="003D2B7D"/>
    <w:rsid w:val="003D3F82"/>
    <w:rsid w:val="003D472B"/>
    <w:rsid w:val="003D54C6"/>
    <w:rsid w:val="003D6168"/>
    <w:rsid w:val="003E0EBD"/>
    <w:rsid w:val="003E5E8E"/>
    <w:rsid w:val="003E61E9"/>
    <w:rsid w:val="003E69D3"/>
    <w:rsid w:val="003F1A59"/>
    <w:rsid w:val="003F2D2C"/>
    <w:rsid w:val="003F7769"/>
    <w:rsid w:val="004002A8"/>
    <w:rsid w:val="00400F72"/>
    <w:rsid w:val="00404650"/>
    <w:rsid w:val="00405BED"/>
    <w:rsid w:val="00405EEA"/>
    <w:rsid w:val="00413C29"/>
    <w:rsid w:val="00414055"/>
    <w:rsid w:val="00425043"/>
    <w:rsid w:val="00425D12"/>
    <w:rsid w:val="004301A2"/>
    <w:rsid w:val="00430305"/>
    <w:rsid w:val="00430962"/>
    <w:rsid w:val="00434E80"/>
    <w:rsid w:val="00436C19"/>
    <w:rsid w:val="00440984"/>
    <w:rsid w:val="0044188F"/>
    <w:rsid w:val="0044404B"/>
    <w:rsid w:val="00444463"/>
    <w:rsid w:val="00447672"/>
    <w:rsid w:val="0045039E"/>
    <w:rsid w:val="004506A3"/>
    <w:rsid w:val="00454BBF"/>
    <w:rsid w:val="00460373"/>
    <w:rsid w:val="00460ED4"/>
    <w:rsid w:val="00460F80"/>
    <w:rsid w:val="00461B95"/>
    <w:rsid w:val="004643A2"/>
    <w:rsid w:val="004644D1"/>
    <w:rsid w:val="004661DA"/>
    <w:rsid w:val="00467BAB"/>
    <w:rsid w:val="00470278"/>
    <w:rsid w:val="00471278"/>
    <w:rsid w:val="004726DE"/>
    <w:rsid w:val="0047313E"/>
    <w:rsid w:val="00473805"/>
    <w:rsid w:val="00474DD0"/>
    <w:rsid w:val="00475833"/>
    <w:rsid w:val="00476076"/>
    <w:rsid w:val="004802E1"/>
    <w:rsid w:val="00480B7A"/>
    <w:rsid w:val="00481D74"/>
    <w:rsid w:val="00482E85"/>
    <w:rsid w:val="00484CC7"/>
    <w:rsid w:val="00485E1F"/>
    <w:rsid w:val="004910CC"/>
    <w:rsid w:val="004950D7"/>
    <w:rsid w:val="00496E5F"/>
    <w:rsid w:val="004A0685"/>
    <w:rsid w:val="004A06BC"/>
    <w:rsid w:val="004B1795"/>
    <w:rsid w:val="004B4AC1"/>
    <w:rsid w:val="004B5563"/>
    <w:rsid w:val="004C1285"/>
    <w:rsid w:val="004C2333"/>
    <w:rsid w:val="004C6D96"/>
    <w:rsid w:val="004D0638"/>
    <w:rsid w:val="004D2436"/>
    <w:rsid w:val="004D2E9A"/>
    <w:rsid w:val="004D4080"/>
    <w:rsid w:val="004D44D5"/>
    <w:rsid w:val="004D4D41"/>
    <w:rsid w:val="004D7998"/>
    <w:rsid w:val="004E0CF7"/>
    <w:rsid w:val="004E1EE7"/>
    <w:rsid w:val="004E3535"/>
    <w:rsid w:val="004E72D5"/>
    <w:rsid w:val="004F3FED"/>
    <w:rsid w:val="004F5F27"/>
    <w:rsid w:val="004F65E9"/>
    <w:rsid w:val="004F688C"/>
    <w:rsid w:val="004F6D3A"/>
    <w:rsid w:val="004F7707"/>
    <w:rsid w:val="0050300E"/>
    <w:rsid w:val="00503A88"/>
    <w:rsid w:val="00505559"/>
    <w:rsid w:val="00505858"/>
    <w:rsid w:val="00514ACD"/>
    <w:rsid w:val="00522468"/>
    <w:rsid w:val="0052292A"/>
    <w:rsid w:val="00523FF6"/>
    <w:rsid w:val="00527C3F"/>
    <w:rsid w:val="00533313"/>
    <w:rsid w:val="00542475"/>
    <w:rsid w:val="00544557"/>
    <w:rsid w:val="00546210"/>
    <w:rsid w:val="00550C46"/>
    <w:rsid w:val="00553609"/>
    <w:rsid w:val="00554223"/>
    <w:rsid w:val="00554550"/>
    <w:rsid w:val="005579EF"/>
    <w:rsid w:val="0056233F"/>
    <w:rsid w:val="005651A2"/>
    <w:rsid w:val="005655D9"/>
    <w:rsid w:val="00571B0E"/>
    <w:rsid w:val="00571F26"/>
    <w:rsid w:val="005730D0"/>
    <w:rsid w:val="00573CF8"/>
    <w:rsid w:val="00586CAB"/>
    <w:rsid w:val="00590573"/>
    <w:rsid w:val="00590CEB"/>
    <w:rsid w:val="005923AC"/>
    <w:rsid w:val="00592F42"/>
    <w:rsid w:val="00595563"/>
    <w:rsid w:val="005A18A8"/>
    <w:rsid w:val="005A2048"/>
    <w:rsid w:val="005A2EB8"/>
    <w:rsid w:val="005A3F3D"/>
    <w:rsid w:val="005A5153"/>
    <w:rsid w:val="005A676D"/>
    <w:rsid w:val="005A69A2"/>
    <w:rsid w:val="005A6E28"/>
    <w:rsid w:val="005B136C"/>
    <w:rsid w:val="005B290E"/>
    <w:rsid w:val="005B2E56"/>
    <w:rsid w:val="005B40F9"/>
    <w:rsid w:val="005B4F9C"/>
    <w:rsid w:val="005B7151"/>
    <w:rsid w:val="005B7D6B"/>
    <w:rsid w:val="005C108E"/>
    <w:rsid w:val="005C662F"/>
    <w:rsid w:val="005C74A9"/>
    <w:rsid w:val="005D0E7C"/>
    <w:rsid w:val="005D2B1E"/>
    <w:rsid w:val="005D6656"/>
    <w:rsid w:val="005D6706"/>
    <w:rsid w:val="005D6DF1"/>
    <w:rsid w:val="005E14E5"/>
    <w:rsid w:val="005E241A"/>
    <w:rsid w:val="005F1FCA"/>
    <w:rsid w:val="005F2394"/>
    <w:rsid w:val="005F42F5"/>
    <w:rsid w:val="005F5FFB"/>
    <w:rsid w:val="005F619C"/>
    <w:rsid w:val="005F6EE5"/>
    <w:rsid w:val="00601947"/>
    <w:rsid w:val="00602B01"/>
    <w:rsid w:val="00607BA1"/>
    <w:rsid w:val="00610571"/>
    <w:rsid w:val="00613D7C"/>
    <w:rsid w:val="006144F2"/>
    <w:rsid w:val="0061591D"/>
    <w:rsid w:val="006211C9"/>
    <w:rsid w:val="0062309F"/>
    <w:rsid w:val="006253E1"/>
    <w:rsid w:val="00627E6B"/>
    <w:rsid w:val="0063364E"/>
    <w:rsid w:val="00635D4B"/>
    <w:rsid w:val="0063607B"/>
    <w:rsid w:val="006371F2"/>
    <w:rsid w:val="006372B8"/>
    <w:rsid w:val="00640611"/>
    <w:rsid w:val="00641A83"/>
    <w:rsid w:val="00643F58"/>
    <w:rsid w:val="0064423B"/>
    <w:rsid w:val="00645D46"/>
    <w:rsid w:val="00651B2B"/>
    <w:rsid w:val="006530A5"/>
    <w:rsid w:val="00653ADA"/>
    <w:rsid w:val="00654DDD"/>
    <w:rsid w:val="006562C7"/>
    <w:rsid w:val="006578A9"/>
    <w:rsid w:val="00657E9F"/>
    <w:rsid w:val="00660831"/>
    <w:rsid w:val="006613C5"/>
    <w:rsid w:val="00662FCC"/>
    <w:rsid w:val="00670249"/>
    <w:rsid w:val="00670A49"/>
    <w:rsid w:val="00671528"/>
    <w:rsid w:val="00671673"/>
    <w:rsid w:val="00671C89"/>
    <w:rsid w:val="00672695"/>
    <w:rsid w:val="00672D7B"/>
    <w:rsid w:val="00680D12"/>
    <w:rsid w:val="00683160"/>
    <w:rsid w:val="00683794"/>
    <w:rsid w:val="006843FD"/>
    <w:rsid w:val="006847A9"/>
    <w:rsid w:val="0068707F"/>
    <w:rsid w:val="00690CAC"/>
    <w:rsid w:val="006933CF"/>
    <w:rsid w:val="006961C6"/>
    <w:rsid w:val="00696CF5"/>
    <w:rsid w:val="006A153A"/>
    <w:rsid w:val="006A2DB7"/>
    <w:rsid w:val="006A53EA"/>
    <w:rsid w:val="006B208A"/>
    <w:rsid w:val="006B75FE"/>
    <w:rsid w:val="006B7DEB"/>
    <w:rsid w:val="006C218D"/>
    <w:rsid w:val="006C6F75"/>
    <w:rsid w:val="006D0382"/>
    <w:rsid w:val="006D1066"/>
    <w:rsid w:val="006D464D"/>
    <w:rsid w:val="006D4F20"/>
    <w:rsid w:val="006D67D8"/>
    <w:rsid w:val="006D6CE2"/>
    <w:rsid w:val="006D7237"/>
    <w:rsid w:val="006E1ED5"/>
    <w:rsid w:val="006E33D8"/>
    <w:rsid w:val="006E69EF"/>
    <w:rsid w:val="006F1833"/>
    <w:rsid w:val="006F2CC8"/>
    <w:rsid w:val="006F684B"/>
    <w:rsid w:val="007003E1"/>
    <w:rsid w:val="00700E4F"/>
    <w:rsid w:val="00702306"/>
    <w:rsid w:val="00702A29"/>
    <w:rsid w:val="00704155"/>
    <w:rsid w:val="00705087"/>
    <w:rsid w:val="007069D0"/>
    <w:rsid w:val="00712697"/>
    <w:rsid w:val="00714EDD"/>
    <w:rsid w:val="0071573C"/>
    <w:rsid w:val="00715EDF"/>
    <w:rsid w:val="00717840"/>
    <w:rsid w:val="007207D2"/>
    <w:rsid w:val="00724149"/>
    <w:rsid w:val="00724302"/>
    <w:rsid w:val="00730D81"/>
    <w:rsid w:val="00731696"/>
    <w:rsid w:val="00733CFF"/>
    <w:rsid w:val="007376DE"/>
    <w:rsid w:val="00751FF5"/>
    <w:rsid w:val="00760805"/>
    <w:rsid w:val="00760C21"/>
    <w:rsid w:val="0076251A"/>
    <w:rsid w:val="00764CAC"/>
    <w:rsid w:val="00766446"/>
    <w:rsid w:val="00766DDF"/>
    <w:rsid w:val="0077332F"/>
    <w:rsid w:val="00775A74"/>
    <w:rsid w:val="0078044D"/>
    <w:rsid w:val="00780716"/>
    <w:rsid w:val="0078463A"/>
    <w:rsid w:val="00784E8C"/>
    <w:rsid w:val="00793AE2"/>
    <w:rsid w:val="007A2847"/>
    <w:rsid w:val="007A4CAD"/>
    <w:rsid w:val="007A56A7"/>
    <w:rsid w:val="007A6FF6"/>
    <w:rsid w:val="007B0192"/>
    <w:rsid w:val="007B1F66"/>
    <w:rsid w:val="007B2C56"/>
    <w:rsid w:val="007B5EC7"/>
    <w:rsid w:val="007C01B4"/>
    <w:rsid w:val="007C02D1"/>
    <w:rsid w:val="007C1AB2"/>
    <w:rsid w:val="007C2380"/>
    <w:rsid w:val="007C3EC3"/>
    <w:rsid w:val="007C5017"/>
    <w:rsid w:val="007C5C25"/>
    <w:rsid w:val="007C7DED"/>
    <w:rsid w:val="007D04D1"/>
    <w:rsid w:val="007D0694"/>
    <w:rsid w:val="007D0958"/>
    <w:rsid w:val="007D0A82"/>
    <w:rsid w:val="007D28F7"/>
    <w:rsid w:val="007D2D1A"/>
    <w:rsid w:val="007D4532"/>
    <w:rsid w:val="007D5E8F"/>
    <w:rsid w:val="007D6ACA"/>
    <w:rsid w:val="007D6B48"/>
    <w:rsid w:val="007E34DF"/>
    <w:rsid w:val="007E4D89"/>
    <w:rsid w:val="007E693A"/>
    <w:rsid w:val="007E6CB3"/>
    <w:rsid w:val="007F0C32"/>
    <w:rsid w:val="007F1C24"/>
    <w:rsid w:val="007F3982"/>
    <w:rsid w:val="007F655B"/>
    <w:rsid w:val="007F778F"/>
    <w:rsid w:val="00802028"/>
    <w:rsid w:val="00803BFD"/>
    <w:rsid w:val="0080492F"/>
    <w:rsid w:val="00806DBC"/>
    <w:rsid w:val="008077BF"/>
    <w:rsid w:val="00807BF6"/>
    <w:rsid w:val="00815A9F"/>
    <w:rsid w:val="008172B5"/>
    <w:rsid w:val="008173C5"/>
    <w:rsid w:val="00820E9D"/>
    <w:rsid w:val="00822ED9"/>
    <w:rsid w:val="00823626"/>
    <w:rsid w:val="00823F09"/>
    <w:rsid w:val="00825455"/>
    <w:rsid w:val="00834069"/>
    <w:rsid w:val="0083653E"/>
    <w:rsid w:val="00836CC9"/>
    <w:rsid w:val="00836DE6"/>
    <w:rsid w:val="00837E68"/>
    <w:rsid w:val="00837FB9"/>
    <w:rsid w:val="008406DE"/>
    <w:rsid w:val="00841308"/>
    <w:rsid w:val="00844187"/>
    <w:rsid w:val="00846A1F"/>
    <w:rsid w:val="00852403"/>
    <w:rsid w:val="00852CA7"/>
    <w:rsid w:val="00853A55"/>
    <w:rsid w:val="00853ED7"/>
    <w:rsid w:val="008550B1"/>
    <w:rsid w:val="00856105"/>
    <w:rsid w:val="0086194F"/>
    <w:rsid w:val="00862277"/>
    <w:rsid w:val="008663E9"/>
    <w:rsid w:val="008664C4"/>
    <w:rsid w:val="00866625"/>
    <w:rsid w:val="00867E6D"/>
    <w:rsid w:val="00870C4E"/>
    <w:rsid w:val="00872420"/>
    <w:rsid w:val="0087287A"/>
    <w:rsid w:val="00872C5C"/>
    <w:rsid w:val="00873BDD"/>
    <w:rsid w:val="00875DCB"/>
    <w:rsid w:val="00880643"/>
    <w:rsid w:val="00882950"/>
    <w:rsid w:val="00885077"/>
    <w:rsid w:val="00887186"/>
    <w:rsid w:val="00887325"/>
    <w:rsid w:val="008878DE"/>
    <w:rsid w:val="0088797D"/>
    <w:rsid w:val="00890F3E"/>
    <w:rsid w:val="0089144D"/>
    <w:rsid w:val="008918FD"/>
    <w:rsid w:val="00892632"/>
    <w:rsid w:val="008928A6"/>
    <w:rsid w:val="00892A89"/>
    <w:rsid w:val="008933B4"/>
    <w:rsid w:val="00893E0A"/>
    <w:rsid w:val="008942FB"/>
    <w:rsid w:val="00894B4C"/>
    <w:rsid w:val="00894C16"/>
    <w:rsid w:val="00894F28"/>
    <w:rsid w:val="00896BC4"/>
    <w:rsid w:val="00896C8E"/>
    <w:rsid w:val="008A3E6D"/>
    <w:rsid w:val="008A4B5F"/>
    <w:rsid w:val="008A52A4"/>
    <w:rsid w:val="008A5837"/>
    <w:rsid w:val="008A67CF"/>
    <w:rsid w:val="008A79AB"/>
    <w:rsid w:val="008A7AF1"/>
    <w:rsid w:val="008B14DB"/>
    <w:rsid w:val="008B390A"/>
    <w:rsid w:val="008B54E9"/>
    <w:rsid w:val="008C2A8F"/>
    <w:rsid w:val="008C5082"/>
    <w:rsid w:val="008D19BE"/>
    <w:rsid w:val="008D1E2C"/>
    <w:rsid w:val="008D5F93"/>
    <w:rsid w:val="008D621D"/>
    <w:rsid w:val="008D7720"/>
    <w:rsid w:val="008E0F01"/>
    <w:rsid w:val="008E14AE"/>
    <w:rsid w:val="008E1FF4"/>
    <w:rsid w:val="008E2C78"/>
    <w:rsid w:val="008E58B9"/>
    <w:rsid w:val="008F46E7"/>
    <w:rsid w:val="008F5A5C"/>
    <w:rsid w:val="008F6362"/>
    <w:rsid w:val="008F76CA"/>
    <w:rsid w:val="00900EF4"/>
    <w:rsid w:val="009013B9"/>
    <w:rsid w:val="00904324"/>
    <w:rsid w:val="00906CE8"/>
    <w:rsid w:val="009074AA"/>
    <w:rsid w:val="00910A06"/>
    <w:rsid w:val="009111EC"/>
    <w:rsid w:val="00911427"/>
    <w:rsid w:val="009114D2"/>
    <w:rsid w:val="00913A4D"/>
    <w:rsid w:val="00915369"/>
    <w:rsid w:val="00915FA4"/>
    <w:rsid w:val="00917130"/>
    <w:rsid w:val="009235D8"/>
    <w:rsid w:val="0092662F"/>
    <w:rsid w:val="00932B2E"/>
    <w:rsid w:val="00934E70"/>
    <w:rsid w:val="0093603A"/>
    <w:rsid w:val="00941D58"/>
    <w:rsid w:val="0094203B"/>
    <w:rsid w:val="00944BB1"/>
    <w:rsid w:val="00945E1A"/>
    <w:rsid w:val="00947E9A"/>
    <w:rsid w:val="0095138E"/>
    <w:rsid w:val="00955F0A"/>
    <w:rsid w:val="009577AD"/>
    <w:rsid w:val="00957F85"/>
    <w:rsid w:val="0096038E"/>
    <w:rsid w:val="0096041F"/>
    <w:rsid w:val="00962458"/>
    <w:rsid w:val="00963DAE"/>
    <w:rsid w:val="009704CC"/>
    <w:rsid w:val="00972CB1"/>
    <w:rsid w:val="009743D1"/>
    <w:rsid w:val="00974D97"/>
    <w:rsid w:val="00974ED5"/>
    <w:rsid w:val="00975BA9"/>
    <w:rsid w:val="00976C66"/>
    <w:rsid w:val="0098002F"/>
    <w:rsid w:val="00980E2D"/>
    <w:rsid w:val="00986505"/>
    <w:rsid w:val="009867A6"/>
    <w:rsid w:val="00987142"/>
    <w:rsid w:val="00990103"/>
    <w:rsid w:val="00991A58"/>
    <w:rsid w:val="009937DB"/>
    <w:rsid w:val="009945D8"/>
    <w:rsid w:val="00994C30"/>
    <w:rsid w:val="00996888"/>
    <w:rsid w:val="009A0E4B"/>
    <w:rsid w:val="009A1CFB"/>
    <w:rsid w:val="009A2C60"/>
    <w:rsid w:val="009A31F9"/>
    <w:rsid w:val="009A49B4"/>
    <w:rsid w:val="009B208F"/>
    <w:rsid w:val="009B30AE"/>
    <w:rsid w:val="009B49B6"/>
    <w:rsid w:val="009B5FA2"/>
    <w:rsid w:val="009B676A"/>
    <w:rsid w:val="009B77B1"/>
    <w:rsid w:val="009C46DD"/>
    <w:rsid w:val="009D2047"/>
    <w:rsid w:val="009D55C3"/>
    <w:rsid w:val="009D5B03"/>
    <w:rsid w:val="009D6CCA"/>
    <w:rsid w:val="009D7332"/>
    <w:rsid w:val="009E11AF"/>
    <w:rsid w:val="009E2EEF"/>
    <w:rsid w:val="009E492F"/>
    <w:rsid w:val="009E51ED"/>
    <w:rsid w:val="009E606F"/>
    <w:rsid w:val="009E6AD8"/>
    <w:rsid w:val="009E7EAB"/>
    <w:rsid w:val="009F1AFD"/>
    <w:rsid w:val="009F4F16"/>
    <w:rsid w:val="009F4FD6"/>
    <w:rsid w:val="009F70CD"/>
    <w:rsid w:val="009F7F12"/>
    <w:rsid w:val="00A0221E"/>
    <w:rsid w:val="00A03DE1"/>
    <w:rsid w:val="00A06EFE"/>
    <w:rsid w:val="00A07B16"/>
    <w:rsid w:val="00A1418A"/>
    <w:rsid w:val="00A14715"/>
    <w:rsid w:val="00A15BB2"/>
    <w:rsid w:val="00A1600D"/>
    <w:rsid w:val="00A17B86"/>
    <w:rsid w:val="00A20BC3"/>
    <w:rsid w:val="00A25E92"/>
    <w:rsid w:val="00A26B46"/>
    <w:rsid w:val="00A27D9A"/>
    <w:rsid w:val="00A30829"/>
    <w:rsid w:val="00A33AA0"/>
    <w:rsid w:val="00A34B15"/>
    <w:rsid w:val="00A4000D"/>
    <w:rsid w:val="00A411BF"/>
    <w:rsid w:val="00A42A1E"/>
    <w:rsid w:val="00A44A7B"/>
    <w:rsid w:val="00A45B43"/>
    <w:rsid w:val="00A46EC7"/>
    <w:rsid w:val="00A51A85"/>
    <w:rsid w:val="00A52CB7"/>
    <w:rsid w:val="00A52EF0"/>
    <w:rsid w:val="00A54119"/>
    <w:rsid w:val="00A61553"/>
    <w:rsid w:val="00A63268"/>
    <w:rsid w:val="00A65205"/>
    <w:rsid w:val="00A65574"/>
    <w:rsid w:val="00A70040"/>
    <w:rsid w:val="00A73BC1"/>
    <w:rsid w:val="00A73C22"/>
    <w:rsid w:val="00A74B30"/>
    <w:rsid w:val="00A76668"/>
    <w:rsid w:val="00A76D4B"/>
    <w:rsid w:val="00A773ED"/>
    <w:rsid w:val="00A7764A"/>
    <w:rsid w:val="00A776EA"/>
    <w:rsid w:val="00A808A4"/>
    <w:rsid w:val="00A81208"/>
    <w:rsid w:val="00A81730"/>
    <w:rsid w:val="00A81B2C"/>
    <w:rsid w:val="00A82523"/>
    <w:rsid w:val="00A83204"/>
    <w:rsid w:val="00A84354"/>
    <w:rsid w:val="00A84CBC"/>
    <w:rsid w:val="00A853EA"/>
    <w:rsid w:val="00A85B6F"/>
    <w:rsid w:val="00A87DF4"/>
    <w:rsid w:val="00A90DDE"/>
    <w:rsid w:val="00A914B2"/>
    <w:rsid w:val="00A91A04"/>
    <w:rsid w:val="00A92B7B"/>
    <w:rsid w:val="00A96A56"/>
    <w:rsid w:val="00AA2E5F"/>
    <w:rsid w:val="00AA3FFF"/>
    <w:rsid w:val="00AB072D"/>
    <w:rsid w:val="00AB0BF7"/>
    <w:rsid w:val="00AB2909"/>
    <w:rsid w:val="00AB408A"/>
    <w:rsid w:val="00AB4116"/>
    <w:rsid w:val="00AB59BE"/>
    <w:rsid w:val="00AB5D06"/>
    <w:rsid w:val="00AB6FE0"/>
    <w:rsid w:val="00AB7229"/>
    <w:rsid w:val="00AC014C"/>
    <w:rsid w:val="00AC1249"/>
    <w:rsid w:val="00AC204B"/>
    <w:rsid w:val="00AC3E83"/>
    <w:rsid w:val="00AC4E74"/>
    <w:rsid w:val="00AC55B9"/>
    <w:rsid w:val="00AC5DDF"/>
    <w:rsid w:val="00AD29FF"/>
    <w:rsid w:val="00AD50F0"/>
    <w:rsid w:val="00AD611A"/>
    <w:rsid w:val="00AD6F47"/>
    <w:rsid w:val="00AE0789"/>
    <w:rsid w:val="00AE1116"/>
    <w:rsid w:val="00AE1972"/>
    <w:rsid w:val="00AE3C9F"/>
    <w:rsid w:val="00AE3E7F"/>
    <w:rsid w:val="00AE55C6"/>
    <w:rsid w:val="00AE6599"/>
    <w:rsid w:val="00AE7205"/>
    <w:rsid w:val="00AF06AB"/>
    <w:rsid w:val="00AF4F5C"/>
    <w:rsid w:val="00AF52F0"/>
    <w:rsid w:val="00AF7633"/>
    <w:rsid w:val="00B000CA"/>
    <w:rsid w:val="00B13C35"/>
    <w:rsid w:val="00B15688"/>
    <w:rsid w:val="00B1779F"/>
    <w:rsid w:val="00B2117A"/>
    <w:rsid w:val="00B21C25"/>
    <w:rsid w:val="00B21FBC"/>
    <w:rsid w:val="00B23E34"/>
    <w:rsid w:val="00B3089C"/>
    <w:rsid w:val="00B3328C"/>
    <w:rsid w:val="00B33652"/>
    <w:rsid w:val="00B338D1"/>
    <w:rsid w:val="00B34797"/>
    <w:rsid w:val="00B350ED"/>
    <w:rsid w:val="00B35C6B"/>
    <w:rsid w:val="00B419E3"/>
    <w:rsid w:val="00B42432"/>
    <w:rsid w:val="00B42653"/>
    <w:rsid w:val="00B44DF1"/>
    <w:rsid w:val="00B459A2"/>
    <w:rsid w:val="00B472D3"/>
    <w:rsid w:val="00B517BA"/>
    <w:rsid w:val="00B51D11"/>
    <w:rsid w:val="00B53531"/>
    <w:rsid w:val="00B53D55"/>
    <w:rsid w:val="00B54483"/>
    <w:rsid w:val="00B60F64"/>
    <w:rsid w:val="00B642A5"/>
    <w:rsid w:val="00B649B5"/>
    <w:rsid w:val="00B65CD4"/>
    <w:rsid w:val="00B6602F"/>
    <w:rsid w:val="00B70A20"/>
    <w:rsid w:val="00B71D6C"/>
    <w:rsid w:val="00B732CB"/>
    <w:rsid w:val="00B73873"/>
    <w:rsid w:val="00B75190"/>
    <w:rsid w:val="00B76C1F"/>
    <w:rsid w:val="00B807DA"/>
    <w:rsid w:val="00B8126D"/>
    <w:rsid w:val="00B81439"/>
    <w:rsid w:val="00B82E3C"/>
    <w:rsid w:val="00B83E72"/>
    <w:rsid w:val="00B8560E"/>
    <w:rsid w:val="00B86ABE"/>
    <w:rsid w:val="00B90F5C"/>
    <w:rsid w:val="00B94C05"/>
    <w:rsid w:val="00B95B85"/>
    <w:rsid w:val="00BA1821"/>
    <w:rsid w:val="00BA2614"/>
    <w:rsid w:val="00BA4047"/>
    <w:rsid w:val="00BA7DE9"/>
    <w:rsid w:val="00BB0B04"/>
    <w:rsid w:val="00BB0EB7"/>
    <w:rsid w:val="00BB13CE"/>
    <w:rsid w:val="00BB1EC5"/>
    <w:rsid w:val="00BB39B4"/>
    <w:rsid w:val="00BB6109"/>
    <w:rsid w:val="00BB6457"/>
    <w:rsid w:val="00BC60AF"/>
    <w:rsid w:val="00BC67B3"/>
    <w:rsid w:val="00BC7586"/>
    <w:rsid w:val="00BD2D3B"/>
    <w:rsid w:val="00BD60EF"/>
    <w:rsid w:val="00BD6568"/>
    <w:rsid w:val="00BD7945"/>
    <w:rsid w:val="00BD7EB0"/>
    <w:rsid w:val="00BF43C8"/>
    <w:rsid w:val="00BF4FDC"/>
    <w:rsid w:val="00BF55FF"/>
    <w:rsid w:val="00BF79B3"/>
    <w:rsid w:val="00C02A85"/>
    <w:rsid w:val="00C03020"/>
    <w:rsid w:val="00C037C3"/>
    <w:rsid w:val="00C04553"/>
    <w:rsid w:val="00C06DA2"/>
    <w:rsid w:val="00C07967"/>
    <w:rsid w:val="00C10C87"/>
    <w:rsid w:val="00C11485"/>
    <w:rsid w:val="00C126E8"/>
    <w:rsid w:val="00C13AF3"/>
    <w:rsid w:val="00C14CBA"/>
    <w:rsid w:val="00C1528F"/>
    <w:rsid w:val="00C15414"/>
    <w:rsid w:val="00C178A0"/>
    <w:rsid w:val="00C22A64"/>
    <w:rsid w:val="00C231B3"/>
    <w:rsid w:val="00C232A5"/>
    <w:rsid w:val="00C2553F"/>
    <w:rsid w:val="00C272B7"/>
    <w:rsid w:val="00C30CC7"/>
    <w:rsid w:val="00C33399"/>
    <w:rsid w:val="00C33540"/>
    <w:rsid w:val="00C34C57"/>
    <w:rsid w:val="00C4040A"/>
    <w:rsid w:val="00C443AA"/>
    <w:rsid w:val="00C46DD2"/>
    <w:rsid w:val="00C51509"/>
    <w:rsid w:val="00C53D28"/>
    <w:rsid w:val="00C54CC6"/>
    <w:rsid w:val="00C62416"/>
    <w:rsid w:val="00C652DD"/>
    <w:rsid w:val="00C66EC3"/>
    <w:rsid w:val="00C6704D"/>
    <w:rsid w:val="00C70C7A"/>
    <w:rsid w:val="00C71CB2"/>
    <w:rsid w:val="00C75CA8"/>
    <w:rsid w:val="00C76FAE"/>
    <w:rsid w:val="00C77EA4"/>
    <w:rsid w:val="00C80E86"/>
    <w:rsid w:val="00C81BC7"/>
    <w:rsid w:val="00C82008"/>
    <w:rsid w:val="00C83788"/>
    <w:rsid w:val="00C87281"/>
    <w:rsid w:val="00C87BF8"/>
    <w:rsid w:val="00C912BE"/>
    <w:rsid w:val="00C92618"/>
    <w:rsid w:val="00C93217"/>
    <w:rsid w:val="00C93E80"/>
    <w:rsid w:val="00C94798"/>
    <w:rsid w:val="00C958BB"/>
    <w:rsid w:val="00C95A71"/>
    <w:rsid w:val="00CA1A8F"/>
    <w:rsid w:val="00CA2AE9"/>
    <w:rsid w:val="00CA3B2A"/>
    <w:rsid w:val="00CA4B72"/>
    <w:rsid w:val="00CA5246"/>
    <w:rsid w:val="00CA52E9"/>
    <w:rsid w:val="00CB2300"/>
    <w:rsid w:val="00CB686A"/>
    <w:rsid w:val="00CC6E5D"/>
    <w:rsid w:val="00CC713A"/>
    <w:rsid w:val="00CC721C"/>
    <w:rsid w:val="00CD0D8A"/>
    <w:rsid w:val="00CD37A4"/>
    <w:rsid w:val="00CD4A29"/>
    <w:rsid w:val="00CE6243"/>
    <w:rsid w:val="00CE66F0"/>
    <w:rsid w:val="00CE6A22"/>
    <w:rsid w:val="00CE70D0"/>
    <w:rsid w:val="00CF2AD9"/>
    <w:rsid w:val="00CF4689"/>
    <w:rsid w:val="00D0476B"/>
    <w:rsid w:val="00D047F3"/>
    <w:rsid w:val="00D049A2"/>
    <w:rsid w:val="00D04AC5"/>
    <w:rsid w:val="00D071A1"/>
    <w:rsid w:val="00D109B3"/>
    <w:rsid w:val="00D1289B"/>
    <w:rsid w:val="00D129F9"/>
    <w:rsid w:val="00D306CD"/>
    <w:rsid w:val="00D31B46"/>
    <w:rsid w:val="00D36F92"/>
    <w:rsid w:val="00D4193A"/>
    <w:rsid w:val="00D41CCC"/>
    <w:rsid w:val="00D47F80"/>
    <w:rsid w:val="00D517C6"/>
    <w:rsid w:val="00D5344F"/>
    <w:rsid w:val="00D5665E"/>
    <w:rsid w:val="00D56780"/>
    <w:rsid w:val="00D63E39"/>
    <w:rsid w:val="00D63ED4"/>
    <w:rsid w:val="00D65787"/>
    <w:rsid w:val="00D660F7"/>
    <w:rsid w:val="00D71E0F"/>
    <w:rsid w:val="00D737AE"/>
    <w:rsid w:val="00D74EA4"/>
    <w:rsid w:val="00D755A8"/>
    <w:rsid w:val="00D75D17"/>
    <w:rsid w:val="00D81F37"/>
    <w:rsid w:val="00D82B08"/>
    <w:rsid w:val="00D82C82"/>
    <w:rsid w:val="00D84061"/>
    <w:rsid w:val="00D96CCB"/>
    <w:rsid w:val="00DA00C4"/>
    <w:rsid w:val="00DA0D74"/>
    <w:rsid w:val="00DA39DF"/>
    <w:rsid w:val="00DA4CEF"/>
    <w:rsid w:val="00DA5A3E"/>
    <w:rsid w:val="00DA62A7"/>
    <w:rsid w:val="00DA661D"/>
    <w:rsid w:val="00DA7E83"/>
    <w:rsid w:val="00DB08E9"/>
    <w:rsid w:val="00DB0CF3"/>
    <w:rsid w:val="00DB1A6D"/>
    <w:rsid w:val="00DB23BC"/>
    <w:rsid w:val="00DB7BB7"/>
    <w:rsid w:val="00DC054E"/>
    <w:rsid w:val="00DC143B"/>
    <w:rsid w:val="00DC2A4C"/>
    <w:rsid w:val="00DC75DC"/>
    <w:rsid w:val="00DC7C61"/>
    <w:rsid w:val="00DD2ACD"/>
    <w:rsid w:val="00DD569D"/>
    <w:rsid w:val="00DD5A48"/>
    <w:rsid w:val="00DD6DA8"/>
    <w:rsid w:val="00DE13E9"/>
    <w:rsid w:val="00DE5572"/>
    <w:rsid w:val="00DF04D0"/>
    <w:rsid w:val="00DF0857"/>
    <w:rsid w:val="00DF3435"/>
    <w:rsid w:val="00DF3DE7"/>
    <w:rsid w:val="00DF574F"/>
    <w:rsid w:val="00E022FB"/>
    <w:rsid w:val="00E031F0"/>
    <w:rsid w:val="00E04FF5"/>
    <w:rsid w:val="00E060C3"/>
    <w:rsid w:val="00E0690C"/>
    <w:rsid w:val="00E10278"/>
    <w:rsid w:val="00E10BB5"/>
    <w:rsid w:val="00E1266F"/>
    <w:rsid w:val="00E12BC7"/>
    <w:rsid w:val="00E133AB"/>
    <w:rsid w:val="00E14A66"/>
    <w:rsid w:val="00E15541"/>
    <w:rsid w:val="00E175FC"/>
    <w:rsid w:val="00E17BBF"/>
    <w:rsid w:val="00E21C5B"/>
    <w:rsid w:val="00E229FC"/>
    <w:rsid w:val="00E23178"/>
    <w:rsid w:val="00E27A07"/>
    <w:rsid w:val="00E30565"/>
    <w:rsid w:val="00E30DF5"/>
    <w:rsid w:val="00E368BE"/>
    <w:rsid w:val="00E37B81"/>
    <w:rsid w:val="00E400E9"/>
    <w:rsid w:val="00E40FA1"/>
    <w:rsid w:val="00E44DC9"/>
    <w:rsid w:val="00E45895"/>
    <w:rsid w:val="00E4642E"/>
    <w:rsid w:val="00E50037"/>
    <w:rsid w:val="00E51BF4"/>
    <w:rsid w:val="00E5536C"/>
    <w:rsid w:val="00E64F86"/>
    <w:rsid w:val="00E72723"/>
    <w:rsid w:val="00E72E27"/>
    <w:rsid w:val="00E7698F"/>
    <w:rsid w:val="00E76F80"/>
    <w:rsid w:val="00E81CF9"/>
    <w:rsid w:val="00E828E4"/>
    <w:rsid w:val="00E845D3"/>
    <w:rsid w:val="00E86534"/>
    <w:rsid w:val="00E90D01"/>
    <w:rsid w:val="00E937F0"/>
    <w:rsid w:val="00E94018"/>
    <w:rsid w:val="00E94D13"/>
    <w:rsid w:val="00E961D1"/>
    <w:rsid w:val="00E967BF"/>
    <w:rsid w:val="00E972F7"/>
    <w:rsid w:val="00EA03B9"/>
    <w:rsid w:val="00EA52A8"/>
    <w:rsid w:val="00EA64EE"/>
    <w:rsid w:val="00EA6635"/>
    <w:rsid w:val="00EA6ABA"/>
    <w:rsid w:val="00EB30F7"/>
    <w:rsid w:val="00EB5400"/>
    <w:rsid w:val="00EB749A"/>
    <w:rsid w:val="00EB75B4"/>
    <w:rsid w:val="00EC2617"/>
    <w:rsid w:val="00EC43D6"/>
    <w:rsid w:val="00EC6F07"/>
    <w:rsid w:val="00ED1A1D"/>
    <w:rsid w:val="00ED2A6F"/>
    <w:rsid w:val="00ED3EA5"/>
    <w:rsid w:val="00ED4FCF"/>
    <w:rsid w:val="00ED7FCF"/>
    <w:rsid w:val="00EE201A"/>
    <w:rsid w:val="00EE291F"/>
    <w:rsid w:val="00EE30F0"/>
    <w:rsid w:val="00EE311E"/>
    <w:rsid w:val="00EE4D1E"/>
    <w:rsid w:val="00EE5BAB"/>
    <w:rsid w:val="00EE6256"/>
    <w:rsid w:val="00EE67BE"/>
    <w:rsid w:val="00EF279D"/>
    <w:rsid w:val="00EF7021"/>
    <w:rsid w:val="00F02C4E"/>
    <w:rsid w:val="00F03AA7"/>
    <w:rsid w:val="00F06DB0"/>
    <w:rsid w:val="00F071A4"/>
    <w:rsid w:val="00F077D2"/>
    <w:rsid w:val="00F07F27"/>
    <w:rsid w:val="00F1018F"/>
    <w:rsid w:val="00F1357B"/>
    <w:rsid w:val="00F1448D"/>
    <w:rsid w:val="00F14792"/>
    <w:rsid w:val="00F2009A"/>
    <w:rsid w:val="00F218B5"/>
    <w:rsid w:val="00F225C6"/>
    <w:rsid w:val="00F2260F"/>
    <w:rsid w:val="00F22C93"/>
    <w:rsid w:val="00F2489C"/>
    <w:rsid w:val="00F30C73"/>
    <w:rsid w:val="00F32707"/>
    <w:rsid w:val="00F374AE"/>
    <w:rsid w:val="00F4265E"/>
    <w:rsid w:val="00F44C43"/>
    <w:rsid w:val="00F50BC5"/>
    <w:rsid w:val="00F51B5C"/>
    <w:rsid w:val="00F52F80"/>
    <w:rsid w:val="00F54267"/>
    <w:rsid w:val="00F606F1"/>
    <w:rsid w:val="00F60F1C"/>
    <w:rsid w:val="00F6216D"/>
    <w:rsid w:val="00F651EF"/>
    <w:rsid w:val="00F6564A"/>
    <w:rsid w:val="00F659E5"/>
    <w:rsid w:val="00F65BA5"/>
    <w:rsid w:val="00F7233F"/>
    <w:rsid w:val="00F73C46"/>
    <w:rsid w:val="00F75A84"/>
    <w:rsid w:val="00F76B41"/>
    <w:rsid w:val="00F77040"/>
    <w:rsid w:val="00F80C6E"/>
    <w:rsid w:val="00F812ED"/>
    <w:rsid w:val="00F825F3"/>
    <w:rsid w:val="00F93521"/>
    <w:rsid w:val="00F93AF1"/>
    <w:rsid w:val="00F97CBB"/>
    <w:rsid w:val="00FA0228"/>
    <w:rsid w:val="00FA4204"/>
    <w:rsid w:val="00FA45A5"/>
    <w:rsid w:val="00FA4701"/>
    <w:rsid w:val="00FA5387"/>
    <w:rsid w:val="00FB0CAC"/>
    <w:rsid w:val="00FB4811"/>
    <w:rsid w:val="00FB56ED"/>
    <w:rsid w:val="00FC0B1F"/>
    <w:rsid w:val="00FC11FC"/>
    <w:rsid w:val="00FC4E78"/>
    <w:rsid w:val="00FC59F9"/>
    <w:rsid w:val="00FC7139"/>
    <w:rsid w:val="00FD2FA1"/>
    <w:rsid w:val="00FD4D47"/>
    <w:rsid w:val="00FD5AC6"/>
    <w:rsid w:val="00FD74AD"/>
    <w:rsid w:val="00FE055F"/>
    <w:rsid w:val="00FE2D93"/>
    <w:rsid w:val="00FE32B9"/>
    <w:rsid w:val="00FE3DE5"/>
    <w:rsid w:val="00FE7D7F"/>
    <w:rsid w:val="00FF0CA5"/>
    <w:rsid w:val="00FF2439"/>
    <w:rsid w:val="00FF5052"/>
    <w:rsid w:val="00FF6D76"/>
    <w:rsid w:val="00FF733C"/>
    <w:rsid w:val="00FF7B81"/>
    <w:rsid w:val="013ECB05"/>
    <w:rsid w:val="014326A6"/>
    <w:rsid w:val="015AD2CD"/>
    <w:rsid w:val="01DB33CF"/>
    <w:rsid w:val="02B17CDD"/>
    <w:rsid w:val="03856B5B"/>
    <w:rsid w:val="03BC0D2E"/>
    <w:rsid w:val="047DF7B5"/>
    <w:rsid w:val="04BB3C42"/>
    <w:rsid w:val="04BB4CA3"/>
    <w:rsid w:val="054612E7"/>
    <w:rsid w:val="062A48BD"/>
    <w:rsid w:val="062D5FCC"/>
    <w:rsid w:val="0676D1A3"/>
    <w:rsid w:val="073DAAEC"/>
    <w:rsid w:val="080B73D2"/>
    <w:rsid w:val="089156AD"/>
    <w:rsid w:val="08CAFAA4"/>
    <w:rsid w:val="0A3B9AC2"/>
    <w:rsid w:val="0BD119EB"/>
    <w:rsid w:val="0C2DA34E"/>
    <w:rsid w:val="0CD53BC7"/>
    <w:rsid w:val="0DA149B5"/>
    <w:rsid w:val="0DC1DC93"/>
    <w:rsid w:val="0DED14D5"/>
    <w:rsid w:val="0E4AE18B"/>
    <w:rsid w:val="0F9A1ECF"/>
    <w:rsid w:val="109EEA35"/>
    <w:rsid w:val="10DD5715"/>
    <w:rsid w:val="114E7194"/>
    <w:rsid w:val="1247380A"/>
    <w:rsid w:val="14170021"/>
    <w:rsid w:val="1453E6E0"/>
    <w:rsid w:val="14FC8348"/>
    <w:rsid w:val="1538214C"/>
    <w:rsid w:val="1567F987"/>
    <w:rsid w:val="161C88CD"/>
    <w:rsid w:val="16ECF516"/>
    <w:rsid w:val="17D9F09B"/>
    <w:rsid w:val="1823F902"/>
    <w:rsid w:val="183FE62A"/>
    <w:rsid w:val="19F28EBB"/>
    <w:rsid w:val="1B77A14C"/>
    <w:rsid w:val="1C017C07"/>
    <w:rsid w:val="1C42B9F1"/>
    <w:rsid w:val="1CE256A6"/>
    <w:rsid w:val="1CF3CAE2"/>
    <w:rsid w:val="1D670B63"/>
    <w:rsid w:val="1EA5A4C0"/>
    <w:rsid w:val="1F0571C8"/>
    <w:rsid w:val="1FD85F70"/>
    <w:rsid w:val="20175521"/>
    <w:rsid w:val="201E5230"/>
    <w:rsid w:val="22E38FEB"/>
    <w:rsid w:val="2358A59A"/>
    <w:rsid w:val="241B4D75"/>
    <w:rsid w:val="24B98388"/>
    <w:rsid w:val="24CDF1AA"/>
    <w:rsid w:val="258C48E9"/>
    <w:rsid w:val="25F4FAED"/>
    <w:rsid w:val="2695CE1A"/>
    <w:rsid w:val="26FB0C48"/>
    <w:rsid w:val="271E4C25"/>
    <w:rsid w:val="2730F9E5"/>
    <w:rsid w:val="278DA890"/>
    <w:rsid w:val="27B6C73E"/>
    <w:rsid w:val="2B076518"/>
    <w:rsid w:val="2BA04A25"/>
    <w:rsid w:val="2BF1F200"/>
    <w:rsid w:val="2CC5BD35"/>
    <w:rsid w:val="2D1C3EE8"/>
    <w:rsid w:val="2E40C373"/>
    <w:rsid w:val="2ED08260"/>
    <w:rsid w:val="300A8B14"/>
    <w:rsid w:val="30DBB4DE"/>
    <w:rsid w:val="30F92CDC"/>
    <w:rsid w:val="315C922F"/>
    <w:rsid w:val="32BCCFFE"/>
    <w:rsid w:val="32E82E67"/>
    <w:rsid w:val="336434AF"/>
    <w:rsid w:val="349119F6"/>
    <w:rsid w:val="34FE2C7D"/>
    <w:rsid w:val="35974AC4"/>
    <w:rsid w:val="35EA1D13"/>
    <w:rsid w:val="366B78E3"/>
    <w:rsid w:val="37B76D2D"/>
    <w:rsid w:val="391690C2"/>
    <w:rsid w:val="3BC48152"/>
    <w:rsid w:val="3C47968E"/>
    <w:rsid w:val="3CC6DB3A"/>
    <w:rsid w:val="3D13163C"/>
    <w:rsid w:val="3EC0030D"/>
    <w:rsid w:val="3F1BFFBC"/>
    <w:rsid w:val="40665FA7"/>
    <w:rsid w:val="41331DFD"/>
    <w:rsid w:val="428221A5"/>
    <w:rsid w:val="42850D15"/>
    <w:rsid w:val="42B2C67F"/>
    <w:rsid w:val="433B3326"/>
    <w:rsid w:val="450BC7E2"/>
    <w:rsid w:val="455E9437"/>
    <w:rsid w:val="45ED1589"/>
    <w:rsid w:val="4683E69B"/>
    <w:rsid w:val="477E4B76"/>
    <w:rsid w:val="4860113E"/>
    <w:rsid w:val="4863BEF0"/>
    <w:rsid w:val="48BEF1AF"/>
    <w:rsid w:val="495B190B"/>
    <w:rsid w:val="49747E19"/>
    <w:rsid w:val="4ACA8FC8"/>
    <w:rsid w:val="4B53C2C5"/>
    <w:rsid w:val="4B90BC37"/>
    <w:rsid w:val="4D168BAB"/>
    <w:rsid w:val="4E1C72A7"/>
    <w:rsid w:val="4ED383AC"/>
    <w:rsid w:val="4F28A9EF"/>
    <w:rsid w:val="4F8E8878"/>
    <w:rsid w:val="50CFE9FD"/>
    <w:rsid w:val="554FF03B"/>
    <w:rsid w:val="56597B3A"/>
    <w:rsid w:val="57156F10"/>
    <w:rsid w:val="5731750A"/>
    <w:rsid w:val="573C33DD"/>
    <w:rsid w:val="58B5A20E"/>
    <w:rsid w:val="596A6C4A"/>
    <w:rsid w:val="5A6E9246"/>
    <w:rsid w:val="5B624647"/>
    <w:rsid w:val="5C050A35"/>
    <w:rsid w:val="5D8170B6"/>
    <w:rsid w:val="5F4BA609"/>
    <w:rsid w:val="61483151"/>
    <w:rsid w:val="62F2BC58"/>
    <w:rsid w:val="6316B9F5"/>
    <w:rsid w:val="6394B5F1"/>
    <w:rsid w:val="644D10D5"/>
    <w:rsid w:val="646946ED"/>
    <w:rsid w:val="64AE6B5B"/>
    <w:rsid w:val="64D8081D"/>
    <w:rsid w:val="653D29D4"/>
    <w:rsid w:val="657CD08A"/>
    <w:rsid w:val="65AE7472"/>
    <w:rsid w:val="65D0D9B8"/>
    <w:rsid w:val="662FFB9B"/>
    <w:rsid w:val="6661703C"/>
    <w:rsid w:val="6798397B"/>
    <w:rsid w:val="67BF8453"/>
    <w:rsid w:val="68EF69D9"/>
    <w:rsid w:val="6B1F2F70"/>
    <w:rsid w:val="6B348695"/>
    <w:rsid w:val="6C34F113"/>
    <w:rsid w:val="6CA6395F"/>
    <w:rsid w:val="6CB0F4C0"/>
    <w:rsid w:val="6D13D6EE"/>
    <w:rsid w:val="6DA4ED36"/>
    <w:rsid w:val="6DAAFE3C"/>
    <w:rsid w:val="6DC971E6"/>
    <w:rsid w:val="6F3CA70A"/>
    <w:rsid w:val="70616FAD"/>
    <w:rsid w:val="70CC417A"/>
    <w:rsid w:val="71290D92"/>
    <w:rsid w:val="719256D3"/>
    <w:rsid w:val="7306AE92"/>
    <w:rsid w:val="7443CB87"/>
    <w:rsid w:val="7460F7CC"/>
    <w:rsid w:val="7466A371"/>
    <w:rsid w:val="74ECB542"/>
    <w:rsid w:val="75122AF4"/>
    <w:rsid w:val="77A30B04"/>
    <w:rsid w:val="77BCEB42"/>
    <w:rsid w:val="78BB59ED"/>
    <w:rsid w:val="79C1DF74"/>
    <w:rsid w:val="79EFD2A5"/>
    <w:rsid w:val="7C01D3F6"/>
    <w:rsid w:val="7C4E9732"/>
    <w:rsid w:val="7FF9381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C58FD5"/>
  <w15:docId w15:val="{3814BF55-9157-4391-8474-DA7DB8FDA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C2333"/>
    <w:rPr>
      <w:rFonts w:ascii="Arial" w:hAnsi="Arial"/>
      <w:sz w:val="24"/>
      <w:lang w:eastAsia="es-ES"/>
    </w:rPr>
  </w:style>
  <w:style w:type="paragraph" w:styleId="Ttulo1">
    <w:name w:val="heading 1"/>
    <w:basedOn w:val="Normal"/>
    <w:next w:val="Normal"/>
    <w:qFormat/>
    <w:pPr>
      <w:keepNext/>
      <w:widowControl w:val="0"/>
      <w:outlineLvl w:val="0"/>
    </w:pPr>
    <w:rPr>
      <w:rFonts w:ascii="Monotype Corsiva" w:hAnsi="Monotype Corsiva"/>
      <w:b/>
      <w:snapToGrid w:val="0"/>
      <w:sz w:val="28"/>
    </w:rPr>
  </w:style>
  <w:style w:type="paragraph" w:styleId="Ttulo2">
    <w:name w:val="heading 2"/>
    <w:basedOn w:val="Normal"/>
    <w:next w:val="Normal"/>
    <w:link w:val="Ttulo2Car"/>
    <w:qFormat/>
    <w:pPr>
      <w:keepNext/>
      <w:ind w:firstLine="567"/>
      <w:outlineLvl w:val="1"/>
    </w:pPr>
    <w:rPr>
      <w:b/>
    </w:rPr>
  </w:style>
  <w:style w:type="paragraph" w:styleId="Ttulo3">
    <w:name w:val="heading 3"/>
    <w:basedOn w:val="Normal"/>
    <w:next w:val="Normal"/>
    <w:qFormat/>
    <w:pPr>
      <w:keepNext/>
      <w:ind w:left="567" w:right="567"/>
      <w:jc w:val="center"/>
      <w:outlineLvl w:val="2"/>
    </w:pPr>
    <w:rPr>
      <w:b/>
    </w:rPr>
  </w:style>
  <w:style w:type="paragraph" w:styleId="Ttulo9">
    <w:name w:val="heading 9"/>
    <w:basedOn w:val="Normal"/>
    <w:next w:val="Normal"/>
    <w:link w:val="Ttulo9Car"/>
    <w:semiHidden/>
    <w:unhideWhenUsed/>
    <w:qFormat/>
    <w:rsid w:val="00A84354"/>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pPr>
      <w:widowControl w:val="0"/>
      <w:tabs>
        <w:tab w:val="center" w:pos="4252"/>
        <w:tab w:val="right" w:pos="8504"/>
      </w:tabs>
    </w:pPr>
    <w:rPr>
      <w:snapToGrid w:val="0"/>
    </w:rPr>
  </w:style>
  <w:style w:type="paragraph" w:styleId="Piedepgina">
    <w:name w:val="footer"/>
    <w:basedOn w:val="Normal"/>
    <w:link w:val="PiedepginaCar"/>
    <w:uiPriority w:val="99"/>
    <w:pPr>
      <w:tabs>
        <w:tab w:val="center" w:pos="4419"/>
        <w:tab w:val="right" w:pos="8838"/>
      </w:tabs>
    </w:pPr>
  </w:style>
  <w:style w:type="character" w:styleId="Hipervnculo">
    <w:name w:val="Hyperlink"/>
    <w:rPr>
      <w:color w:val="0000FF"/>
      <w:u w:val="single"/>
    </w:rPr>
  </w:style>
  <w:style w:type="paragraph" w:styleId="Textoindependiente2">
    <w:name w:val="Body Text 2"/>
    <w:basedOn w:val="Normal"/>
    <w:pPr>
      <w:jc w:val="both"/>
    </w:pPr>
  </w:style>
  <w:style w:type="paragraph" w:styleId="Textoindependiente3">
    <w:name w:val="Body Text 3"/>
    <w:basedOn w:val="Normal"/>
    <w:pPr>
      <w:jc w:val="center"/>
    </w:pPr>
    <w:rPr>
      <w:b/>
      <w:caps/>
      <w:sz w:val="36"/>
      <w:u w:val="thick"/>
    </w:rPr>
  </w:style>
  <w:style w:type="paragraph" w:styleId="Sangradetextonormal">
    <w:name w:val="Body Text Indent"/>
    <w:basedOn w:val="Normal"/>
    <w:link w:val="SangradetextonormalCar"/>
    <w:rsid w:val="004A06BC"/>
    <w:pPr>
      <w:spacing w:after="120"/>
      <w:ind w:left="283"/>
    </w:pPr>
    <w:rPr>
      <w:rFonts w:ascii="Times New Roman" w:hAnsi="Times New Roman"/>
      <w:szCs w:val="24"/>
    </w:rPr>
  </w:style>
  <w:style w:type="character" w:customStyle="1" w:styleId="SangradetextonormalCar">
    <w:name w:val="Sangría de texto normal Car"/>
    <w:link w:val="Sangradetextonormal"/>
    <w:rsid w:val="004A06BC"/>
    <w:rPr>
      <w:sz w:val="24"/>
      <w:szCs w:val="24"/>
      <w:lang w:val="pt-BR" w:eastAsia="es-ES"/>
    </w:rPr>
  </w:style>
  <w:style w:type="paragraph" w:styleId="Textoindependiente">
    <w:name w:val="Body Text"/>
    <w:basedOn w:val="Normal"/>
    <w:link w:val="TextoindependienteCar"/>
    <w:rsid w:val="004A06BC"/>
    <w:pPr>
      <w:spacing w:after="120"/>
    </w:pPr>
    <w:rPr>
      <w:rFonts w:ascii="Times New Roman" w:hAnsi="Times New Roman"/>
      <w:szCs w:val="24"/>
      <w:lang w:eastAsia="en-US"/>
    </w:rPr>
  </w:style>
  <w:style w:type="character" w:customStyle="1" w:styleId="TextoindependienteCar">
    <w:name w:val="Texto independiente Car"/>
    <w:link w:val="Textoindependiente"/>
    <w:rsid w:val="004A06BC"/>
    <w:rPr>
      <w:sz w:val="24"/>
      <w:szCs w:val="24"/>
      <w:lang w:val="pt-BR" w:eastAsia="en-US"/>
    </w:rPr>
  </w:style>
  <w:style w:type="paragraph" w:customStyle="1" w:styleId="Listavistosa-nfasis11">
    <w:name w:val="Lista vistosa - Énfasis 11"/>
    <w:basedOn w:val="Normal"/>
    <w:uiPriority w:val="34"/>
    <w:qFormat/>
    <w:rsid w:val="004A06BC"/>
    <w:pPr>
      <w:ind w:left="708"/>
    </w:pPr>
    <w:rPr>
      <w:rFonts w:ascii="Times New Roman" w:hAnsi="Times New Roman"/>
      <w:szCs w:val="24"/>
      <w:lang w:eastAsia="en-US"/>
    </w:rPr>
  </w:style>
  <w:style w:type="character" w:customStyle="1" w:styleId="PiedepginaCar">
    <w:name w:val="Pie de página Car"/>
    <w:link w:val="Piedepgina"/>
    <w:uiPriority w:val="99"/>
    <w:rsid w:val="004A06BC"/>
    <w:rPr>
      <w:rFonts w:ascii="Arial" w:hAnsi="Arial"/>
      <w:sz w:val="24"/>
      <w:lang w:val="pt-BR" w:eastAsia="es-ES"/>
    </w:rPr>
  </w:style>
  <w:style w:type="paragraph" w:styleId="Textodeglobo">
    <w:name w:val="Balloon Text"/>
    <w:basedOn w:val="Normal"/>
    <w:link w:val="TextodegloboCar"/>
    <w:rsid w:val="004A06BC"/>
    <w:rPr>
      <w:rFonts w:ascii="Tahoma" w:hAnsi="Tahoma"/>
      <w:sz w:val="16"/>
      <w:szCs w:val="16"/>
    </w:rPr>
  </w:style>
  <w:style w:type="character" w:customStyle="1" w:styleId="TextodegloboCar">
    <w:name w:val="Texto de globo Car"/>
    <w:link w:val="Textodeglobo"/>
    <w:rsid w:val="004A06BC"/>
    <w:rPr>
      <w:rFonts w:ascii="Tahoma" w:hAnsi="Tahoma" w:cs="Tahoma"/>
      <w:sz w:val="16"/>
      <w:szCs w:val="16"/>
      <w:lang w:val="pt-BR" w:eastAsia="es-ES"/>
    </w:rPr>
  </w:style>
  <w:style w:type="paragraph" w:customStyle="1" w:styleId="TIT2">
    <w:name w:val="TIT 2"/>
    <w:basedOn w:val="Ttulo"/>
    <w:rsid w:val="009B5FA2"/>
    <w:pPr>
      <w:widowControl w:val="0"/>
      <w:suppressAutoHyphens/>
      <w:autoSpaceDE w:val="0"/>
      <w:spacing w:before="20" w:after="20"/>
      <w:outlineLvl w:val="9"/>
    </w:pPr>
    <w:rPr>
      <w:rFonts w:ascii="Times New Roman" w:hAnsi="Times New Roman"/>
      <w:bCs w:val="0"/>
      <w:kern w:val="1"/>
      <w:sz w:val="24"/>
      <w:szCs w:val="20"/>
      <w:lang w:eastAsia="ar-SA"/>
    </w:rPr>
  </w:style>
  <w:style w:type="paragraph" w:styleId="NormalWeb">
    <w:name w:val="Normal (Web)"/>
    <w:basedOn w:val="Normal"/>
    <w:uiPriority w:val="99"/>
    <w:rsid w:val="009B5FA2"/>
    <w:pPr>
      <w:spacing w:before="280" w:after="280"/>
    </w:pPr>
    <w:rPr>
      <w:rFonts w:ascii="Times New Roman" w:hAnsi="Times New Roman"/>
      <w:sz w:val="20"/>
      <w:lang w:eastAsia="en-US"/>
    </w:rPr>
  </w:style>
  <w:style w:type="table" w:styleId="Tablaconcuadrcula">
    <w:name w:val="Table Grid"/>
    <w:basedOn w:val="Tablanormal"/>
    <w:uiPriority w:val="59"/>
    <w:rsid w:val="009B5FA2"/>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basedOn w:val="Normal"/>
    <w:next w:val="Normal"/>
    <w:link w:val="TtuloCar"/>
    <w:qFormat/>
    <w:rsid w:val="009B5FA2"/>
    <w:pPr>
      <w:spacing w:before="240" w:after="60"/>
      <w:jc w:val="center"/>
      <w:outlineLvl w:val="0"/>
    </w:pPr>
    <w:rPr>
      <w:rFonts w:ascii="Cambria" w:hAnsi="Cambria"/>
      <w:b/>
      <w:bCs/>
      <w:kern w:val="28"/>
      <w:sz w:val="32"/>
      <w:szCs w:val="32"/>
    </w:rPr>
  </w:style>
  <w:style w:type="character" w:customStyle="1" w:styleId="TtuloCar">
    <w:name w:val="Título Car"/>
    <w:link w:val="Ttulo"/>
    <w:rsid w:val="009B5FA2"/>
    <w:rPr>
      <w:rFonts w:ascii="Cambria" w:eastAsia="Times New Roman" w:hAnsi="Cambria" w:cs="Times New Roman"/>
      <w:b/>
      <w:bCs/>
      <w:kern w:val="28"/>
      <w:sz w:val="32"/>
      <w:szCs w:val="32"/>
      <w:lang w:val="pt-BR" w:eastAsia="es-ES"/>
    </w:rPr>
  </w:style>
  <w:style w:type="paragraph" w:styleId="Descripcin">
    <w:name w:val="caption"/>
    <w:basedOn w:val="Normal"/>
    <w:next w:val="Normal"/>
    <w:qFormat/>
    <w:rsid w:val="00ED4FCF"/>
    <w:rPr>
      <w:rFonts w:cs="Arial"/>
      <w:b/>
      <w:bCs/>
      <w:sz w:val="20"/>
      <w:szCs w:val="24"/>
      <w:lang w:eastAsia="ar-SA"/>
    </w:rPr>
  </w:style>
  <w:style w:type="character" w:customStyle="1" w:styleId="normaltextrun">
    <w:name w:val="normaltextrun"/>
    <w:rsid w:val="00ED4FCF"/>
  </w:style>
  <w:style w:type="paragraph" w:customStyle="1" w:styleId="paragraph">
    <w:name w:val="paragraph"/>
    <w:basedOn w:val="Normal"/>
    <w:rsid w:val="00ED4FCF"/>
    <w:pPr>
      <w:spacing w:before="100" w:beforeAutospacing="1" w:after="100" w:afterAutospacing="1"/>
    </w:pPr>
    <w:rPr>
      <w:rFonts w:ascii="Times New Roman" w:hAnsi="Times New Roman"/>
      <w:szCs w:val="24"/>
      <w:lang w:eastAsia="es-UY"/>
    </w:rPr>
  </w:style>
  <w:style w:type="character" w:customStyle="1" w:styleId="eop">
    <w:name w:val="eop"/>
    <w:rsid w:val="00ED4FCF"/>
  </w:style>
  <w:style w:type="paragraph" w:styleId="Textocomentario">
    <w:name w:val="annotation text"/>
    <w:basedOn w:val="Normal"/>
    <w:link w:val="TextocomentarioCar"/>
    <w:rsid w:val="004661DA"/>
    <w:rPr>
      <w:sz w:val="20"/>
    </w:rPr>
  </w:style>
  <w:style w:type="character" w:customStyle="1" w:styleId="TextocomentarioCar">
    <w:name w:val="Texto comentario Car"/>
    <w:link w:val="Textocomentario"/>
    <w:rsid w:val="004661DA"/>
    <w:rPr>
      <w:rFonts w:ascii="Arial" w:hAnsi="Arial"/>
      <w:lang w:val="pt-BR" w:eastAsia="es-ES"/>
    </w:rPr>
  </w:style>
  <w:style w:type="character" w:styleId="Refdecomentario">
    <w:name w:val="annotation reference"/>
    <w:uiPriority w:val="99"/>
    <w:unhideWhenUsed/>
    <w:rsid w:val="004661DA"/>
    <w:rPr>
      <w:sz w:val="16"/>
      <w:szCs w:val="16"/>
    </w:rPr>
  </w:style>
  <w:style w:type="paragraph" w:customStyle="1" w:styleId="Cuadrculamedia21">
    <w:name w:val="Cuadrícula media 21"/>
    <w:uiPriority w:val="1"/>
    <w:qFormat/>
    <w:rsid w:val="008D621D"/>
    <w:pPr>
      <w:suppressAutoHyphens/>
    </w:pPr>
    <w:rPr>
      <w:rFonts w:ascii="Calibri" w:eastAsia="SimSun" w:hAnsi="Calibri" w:cs="Tahoma"/>
      <w:kern w:val="2"/>
      <w:sz w:val="22"/>
      <w:szCs w:val="22"/>
      <w:lang w:eastAsia="ar-SA"/>
    </w:rPr>
  </w:style>
  <w:style w:type="numbering" w:customStyle="1" w:styleId="WWNum3">
    <w:name w:val="WWNum3"/>
    <w:basedOn w:val="Sinlista"/>
    <w:rsid w:val="001220EA"/>
    <w:pPr>
      <w:numPr>
        <w:numId w:val="3"/>
      </w:numPr>
    </w:pPr>
  </w:style>
  <w:style w:type="character" w:customStyle="1" w:styleId="MenoPendente1">
    <w:name w:val="Menção Pendente1"/>
    <w:basedOn w:val="Fuentedeprrafopredeter"/>
    <w:uiPriority w:val="99"/>
    <w:semiHidden/>
    <w:unhideWhenUsed/>
    <w:rsid w:val="00343525"/>
    <w:rPr>
      <w:color w:val="605E5C"/>
      <w:shd w:val="clear" w:color="auto" w:fill="E1DFDD"/>
    </w:rPr>
  </w:style>
  <w:style w:type="character" w:customStyle="1" w:styleId="Ttulo9Car">
    <w:name w:val="Título 9 Car"/>
    <w:basedOn w:val="Fuentedeprrafopredeter"/>
    <w:link w:val="Ttulo9"/>
    <w:semiHidden/>
    <w:rsid w:val="00A84354"/>
    <w:rPr>
      <w:rFonts w:asciiTheme="majorHAnsi" w:eastAsiaTheme="majorEastAsia" w:hAnsiTheme="majorHAnsi" w:cstheme="majorBidi"/>
      <w:i/>
      <w:iCs/>
      <w:color w:val="272727" w:themeColor="text1" w:themeTint="D8"/>
      <w:sz w:val="21"/>
      <w:szCs w:val="21"/>
      <w:lang w:eastAsia="es-ES"/>
    </w:rPr>
  </w:style>
  <w:style w:type="character" w:customStyle="1" w:styleId="Ttulo2Car">
    <w:name w:val="Título 2 Car"/>
    <w:link w:val="Ttulo2"/>
    <w:rsid w:val="00A84354"/>
    <w:rPr>
      <w:rFonts w:ascii="Arial" w:hAnsi="Arial"/>
      <w:b/>
      <w:sz w:val="24"/>
      <w:lang w:val="pt-BR" w:eastAsia="es-ES"/>
    </w:rPr>
  </w:style>
  <w:style w:type="character" w:customStyle="1" w:styleId="EncabezadoCar">
    <w:name w:val="Encabezado Car"/>
    <w:link w:val="Encabezado"/>
    <w:rsid w:val="00A84354"/>
    <w:rPr>
      <w:rFonts w:ascii="Arial" w:hAnsi="Arial"/>
      <w:snapToGrid w:val="0"/>
      <w:sz w:val="24"/>
      <w:lang w:val="pt-BR" w:eastAsia="es-ES"/>
    </w:rPr>
  </w:style>
  <w:style w:type="paragraph" w:customStyle="1" w:styleId="xs2">
    <w:name w:val="x_s2"/>
    <w:basedOn w:val="Normal"/>
    <w:rsid w:val="00A84354"/>
    <w:pPr>
      <w:spacing w:before="100" w:beforeAutospacing="1" w:after="100" w:afterAutospacing="1"/>
    </w:pPr>
    <w:rPr>
      <w:rFonts w:ascii="Times New Roman" w:hAnsi="Times New Roman"/>
      <w:szCs w:val="24"/>
      <w:lang w:eastAsia="es-UY"/>
    </w:rPr>
  </w:style>
  <w:style w:type="character" w:customStyle="1" w:styleId="xapple-converted-space">
    <w:name w:val="x_apple-converted-space"/>
    <w:rsid w:val="00A84354"/>
  </w:style>
  <w:style w:type="character" w:customStyle="1" w:styleId="xs5">
    <w:name w:val="x_s5"/>
    <w:rsid w:val="00A84354"/>
  </w:style>
  <w:style w:type="paragraph" w:customStyle="1" w:styleId="xmsonormal">
    <w:name w:val="x_msonormal"/>
    <w:basedOn w:val="Normal"/>
    <w:rsid w:val="00A84354"/>
    <w:pPr>
      <w:spacing w:before="100" w:beforeAutospacing="1" w:after="100" w:afterAutospacing="1"/>
    </w:pPr>
    <w:rPr>
      <w:rFonts w:ascii="Times New Roman" w:hAnsi="Times New Roman"/>
      <w:szCs w:val="24"/>
      <w:lang w:eastAsia="es-UY"/>
    </w:rPr>
  </w:style>
  <w:style w:type="paragraph" w:customStyle="1" w:styleId="xmsolistparagraph">
    <w:name w:val="x_msolistparagraph"/>
    <w:basedOn w:val="Normal"/>
    <w:rsid w:val="00A84354"/>
    <w:pPr>
      <w:spacing w:before="100" w:beforeAutospacing="1" w:after="100" w:afterAutospacing="1"/>
    </w:pPr>
    <w:rPr>
      <w:rFonts w:ascii="Times New Roman" w:hAnsi="Times New Roman"/>
      <w:szCs w:val="24"/>
      <w:lang w:eastAsia="es-UY"/>
    </w:rPr>
  </w:style>
  <w:style w:type="paragraph" w:styleId="Prrafodelista">
    <w:name w:val="List Paragraph"/>
    <w:aliases w:val="Recommendation,List Paragraph11,L,CV text,Table text,F5 List Paragraph,Dot pt,Medium Grid 1 - Accent 21,Numbered Paragraph,Bullet point,Colorful List - Accent 11,bullet point list,List Paragraph111,List Paragraph2,Fundamentacion,lp1"/>
    <w:basedOn w:val="Normal"/>
    <w:link w:val="PrrafodelistaCar"/>
    <w:uiPriority w:val="34"/>
    <w:qFormat/>
    <w:rsid w:val="0086194F"/>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PrrafodelistaCar">
    <w:name w:val="Párrafo de lista Car"/>
    <w:aliases w:val="Recommendation Car,List Paragraph11 Car,L Car,CV text Car,Table text Car,F5 List Paragraph Car,Dot pt Car,Medium Grid 1 - Accent 21 Car,Numbered Paragraph Car,Bullet point Car,Colorful List - Accent 11 Car,bullet point list Car"/>
    <w:link w:val="Prrafodelista"/>
    <w:uiPriority w:val="34"/>
    <w:qFormat/>
    <w:locked/>
    <w:rsid w:val="00304728"/>
    <w:rPr>
      <w:rFonts w:asciiTheme="minorHAnsi" w:eastAsiaTheme="minorHAnsi" w:hAnsiTheme="minorHAnsi" w:cstheme="minorBidi"/>
      <w:sz w:val="22"/>
      <w:szCs w:val="22"/>
      <w:lang w:eastAsia="en-US"/>
    </w:rPr>
  </w:style>
  <w:style w:type="table" w:customStyle="1" w:styleId="TableNormal">
    <w:name w:val="Table Normal"/>
    <w:rsid w:val="00904324"/>
    <w:pPr>
      <w:pBdr>
        <w:top w:val="nil"/>
        <w:left w:val="nil"/>
        <w:bottom w:val="nil"/>
        <w:right w:val="nil"/>
        <w:between w:val="nil"/>
        <w:bar w:val="nil"/>
      </w:pBdr>
    </w:pPr>
    <w:rPr>
      <w:rFonts w:eastAsia="Arial Unicode MS"/>
      <w:bdr w:val="nil"/>
      <w:lang w:eastAsia="es-UY"/>
    </w:rPr>
    <w:tblPr>
      <w:tblInd w:w="0" w:type="dxa"/>
      <w:tblCellMar>
        <w:top w:w="0" w:type="dxa"/>
        <w:left w:w="0" w:type="dxa"/>
        <w:bottom w:w="0" w:type="dxa"/>
        <w:right w:w="0" w:type="dxa"/>
      </w:tblCellMar>
    </w:tblPr>
  </w:style>
  <w:style w:type="numbering" w:customStyle="1" w:styleId="ImportedStyle1">
    <w:name w:val="Imported Style 1"/>
    <w:rsid w:val="00904324"/>
    <w:pPr>
      <w:numPr>
        <w:numId w:val="14"/>
      </w:numPr>
    </w:pPr>
  </w:style>
  <w:style w:type="paragraph" w:styleId="Revisin">
    <w:name w:val="Revision"/>
    <w:hidden/>
    <w:uiPriority w:val="99"/>
    <w:semiHidden/>
    <w:rsid w:val="00A07B16"/>
    <w:rPr>
      <w:rFonts w:ascii="Arial" w:hAnsi="Arial"/>
      <w:sz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388018">
      <w:bodyDiv w:val="1"/>
      <w:marLeft w:val="0"/>
      <w:marRight w:val="0"/>
      <w:marTop w:val="0"/>
      <w:marBottom w:val="0"/>
      <w:divBdr>
        <w:top w:val="none" w:sz="0" w:space="0" w:color="auto"/>
        <w:left w:val="none" w:sz="0" w:space="0" w:color="auto"/>
        <w:bottom w:val="none" w:sz="0" w:space="0" w:color="auto"/>
        <w:right w:val="none" w:sz="0" w:space="0" w:color="auto"/>
      </w:divBdr>
    </w:div>
    <w:div w:id="289553883">
      <w:bodyDiv w:val="1"/>
      <w:marLeft w:val="0"/>
      <w:marRight w:val="0"/>
      <w:marTop w:val="0"/>
      <w:marBottom w:val="0"/>
      <w:divBdr>
        <w:top w:val="none" w:sz="0" w:space="0" w:color="auto"/>
        <w:left w:val="none" w:sz="0" w:space="0" w:color="auto"/>
        <w:bottom w:val="none" w:sz="0" w:space="0" w:color="auto"/>
        <w:right w:val="none" w:sz="0" w:space="0" w:color="auto"/>
      </w:divBdr>
    </w:div>
    <w:div w:id="357589010">
      <w:bodyDiv w:val="1"/>
      <w:marLeft w:val="0"/>
      <w:marRight w:val="0"/>
      <w:marTop w:val="0"/>
      <w:marBottom w:val="0"/>
      <w:divBdr>
        <w:top w:val="none" w:sz="0" w:space="0" w:color="auto"/>
        <w:left w:val="none" w:sz="0" w:space="0" w:color="auto"/>
        <w:bottom w:val="none" w:sz="0" w:space="0" w:color="auto"/>
        <w:right w:val="none" w:sz="0" w:space="0" w:color="auto"/>
      </w:divBdr>
    </w:div>
    <w:div w:id="613050721">
      <w:bodyDiv w:val="1"/>
      <w:marLeft w:val="0"/>
      <w:marRight w:val="0"/>
      <w:marTop w:val="0"/>
      <w:marBottom w:val="0"/>
      <w:divBdr>
        <w:top w:val="none" w:sz="0" w:space="0" w:color="auto"/>
        <w:left w:val="none" w:sz="0" w:space="0" w:color="auto"/>
        <w:bottom w:val="none" w:sz="0" w:space="0" w:color="auto"/>
        <w:right w:val="none" w:sz="0" w:space="0" w:color="auto"/>
      </w:divBdr>
    </w:div>
    <w:div w:id="654259161">
      <w:bodyDiv w:val="1"/>
      <w:marLeft w:val="0"/>
      <w:marRight w:val="0"/>
      <w:marTop w:val="0"/>
      <w:marBottom w:val="0"/>
      <w:divBdr>
        <w:top w:val="none" w:sz="0" w:space="0" w:color="auto"/>
        <w:left w:val="none" w:sz="0" w:space="0" w:color="auto"/>
        <w:bottom w:val="none" w:sz="0" w:space="0" w:color="auto"/>
        <w:right w:val="none" w:sz="0" w:space="0" w:color="auto"/>
      </w:divBdr>
    </w:div>
    <w:div w:id="778260331">
      <w:bodyDiv w:val="1"/>
      <w:marLeft w:val="0"/>
      <w:marRight w:val="0"/>
      <w:marTop w:val="0"/>
      <w:marBottom w:val="0"/>
      <w:divBdr>
        <w:top w:val="none" w:sz="0" w:space="0" w:color="auto"/>
        <w:left w:val="none" w:sz="0" w:space="0" w:color="auto"/>
        <w:bottom w:val="none" w:sz="0" w:space="0" w:color="auto"/>
        <w:right w:val="none" w:sz="0" w:space="0" w:color="auto"/>
      </w:divBdr>
    </w:div>
    <w:div w:id="790512198">
      <w:bodyDiv w:val="1"/>
      <w:marLeft w:val="0"/>
      <w:marRight w:val="0"/>
      <w:marTop w:val="0"/>
      <w:marBottom w:val="0"/>
      <w:divBdr>
        <w:top w:val="none" w:sz="0" w:space="0" w:color="auto"/>
        <w:left w:val="none" w:sz="0" w:space="0" w:color="auto"/>
        <w:bottom w:val="none" w:sz="0" w:space="0" w:color="auto"/>
        <w:right w:val="none" w:sz="0" w:space="0" w:color="auto"/>
      </w:divBdr>
    </w:div>
    <w:div w:id="888809600">
      <w:bodyDiv w:val="1"/>
      <w:marLeft w:val="0"/>
      <w:marRight w:val="0"/>
      <w:marTop w:val="0"/>
      <w:marBottom w:val="0"/>
      <w:divBdr>
        <w:top w:val="none" w:sz="0" w:space="0" w:color="auto"/>
        <w:left w:val="none" w:sz="0" w:space="0" w:color="auto"/>
        <w:bottom w:val="none" w:sz="0" w:space="0" w:color="auto"/>
        <w:right w:val="none" w:sz="0" w:space="0" w:color="auto"/>
      </w:divBdr>
    </w:div>
    <w:div w:id="1041246427">
      <w:bodyDiv w:val="1"/>
      <w:marLeft w:val="0"/>
      <w:marRight w:val="0"/>
      <w:marTop w:val="0"/>
      <w:marBottom w:val="0"/>
      <w:divBdr>
        <w:top w:val="none" w:sz="0" w:space="0" w:color="auto"/>
        <w:left w:val="none" w:sz="0" w:space="0" w:color="auto"/>
        <w:bottom w:val="none" w:sz="0" w:space="0" w:color="auto"/>
        <w:right w:val="none" w:sz="0" w:space="0" w:color="auto"/>
      </w:divBdr>
    </w:div>
    <w:div w:id="1274636137">
      <w:bodyDiv w:val="1"/>
      <w:marLeft w:val="0"/>
      <w:marRight w:val="0"/>
      <w:marTop w:val="0"/>
      <w:marBottom w:val="0"/>
      <w:divBdr>
        <w:top w:val="none" w:sz="0" w:space="0" w:color="auto"/>
        <w:left w:val="none" w:sz="0" w:space="0" w:color="auto"/>
        <w:bottom w:val="none" w:sz="0" w:space="0" w:color="auto"/>
        <w:right w:val="none" w:sz="0" w:space="0" w:color="auto"/>
      </w:divBdr>
    </w:div>
    <w:div w:id="1347100889">
      <w:bodyDiv w:val="1"/>
      <w:marLeft w:val="0"/>
      <w:marRight w:val="0"/>
      <w:marTop w:val="0"/>
      <w:marBottom w:val="0"/>
      <w:divBdr>
        <w:top w:val="none" w:sz="0" w:space="0" w:color="auto"/>
        <w:left w:val="none" w:sz="0" w:space="0" w:color="auto"/>
        <w:bottom w:val="none" w:sz="0" w:space="0" w:color="auto"/>
        <w:right w:val="none" w:sz="0" w:space="0" w:color="auto"/>
      </w:divBdr>
    </w:div>
    <w:div w:id="1484276574">
      <w:bodyDiv w:val="1"/>
      <w:marLeft w:val="0"/>
      <w:marRight w:val="0"/>
      <w:marTop w:val="0"/>
      <w:marBottom w:val="0"/>
      <w:divBdr>
        <w:top w:val="none" w:sz="0" w:space="0" w:color="auto"/>
        <w:left w:val="none" w:sz="0" w:space="0" w:color="auto"/>
        <w:bottom w:val="none" w:sz="0" w:space="0" w:color="auto"/>
        <w:right w:val="none" w:sz="0" w:space="0" w:color="auto"/>
      </w:divBdr>
    </w:div>
    <w:div w:id="1491943634">
      <w:bodyDiv w:val="1"/>
      <w:marLeft w:val="0"/>
      <w:marRight w:val="0"/>
      <w:marTop w:val="0"/>
      <w:marBottom w:val="0"/>
      <w:divBdr>
        <w:top w:val="none" w:sz="0" w:space="0" w:color="auto"/>
        <w:left w:val="none" w:sz="0" w:space="0" w:color="auto"/>
        <w:bottom w:val="none" w:sz="0" w:space="0" w:color="auto"/>
        <w:right w:val="none" w:sz="0" w:space="0" w:color="auto"/>
      </w:divBdr>
    </w:div>
    <w:div w:id="1507136349">
      <w:bodyDiv w:val="1"/>
      <w:marLeft w:val="0"/>
      <w:marRight w:val="0"/>
      <w:marTop w:val="0"/>
      <w:marBottom w:val="0"/>
      <w:divBdr>
        <w:top w:val="none" w:sz="0" w:space="0" w:color="auto"/>
        <w:left w:val="none" w:sz="0" w:space="0" w:color="auto"/>
        <w:bottom w:val="none" w:sz="0" w:space="0" w:color="auto"/>
        <w:right w:val="none" w:sz="0" w:space="0" w:color="auto"/>
      </w:divBdr>
    </w:div>
    <w:div w:id="1548755777">
      <w:bodyDiv w:val="1"/>
      <w:marLeft w:val="0"/>
      <w:marRight w:val="0"/>
      <w:marTop w:val="0"/>
      <w:marBottom w:val="0"/>
      <w:divBdr>
        <w:top w:val="none" w:sz="0" w:space="0" w:color="auto"/>
        <w:left w:val="none" w:sz="0" w:space="0" w:color="auto"/>
        <w:bottom w:val="none" w:sz="0" w:space="0" w:color="auto"/>
        <w:right w:val="none" w:sz="0" w:space="0" w:color="auto"/>
      </w:divBdr>
    </w:div>
    <w:div w:id="1566648549">
      <w:bodyDiv w:val="1"/>
      <w:marLeft w:val="0"/>
      <w:marRight w:val="0"/>
      <w:marTop w:val="0"/>
      <w:marBottom w:val="0"/>
      <w:divBdr>
        <w:top w:val="none" w:sz="0" w:space="0" w:color="auto"/>
        <w:left w:val="none" w:sz="0" w:space="0" w:color="auto"/>
        <w:bottom w:val="none" w:sz="0" w:space="0" w:color="auto"/>
        <w:right w:val="none" w:sz="0" w:space="0" w:color="auto"/>
      </w:divBdr>
    </w:div>
    <w:div w:id="1595356043">
      <w:bodyDiv w:val="1"/>
      <w:marLeft w:val="0"/>
      <w:marRight w:val="0"/>
      <w:marTop w:val="0"/>
      <w:marBottom w:val="0"/>
      <w:divBdr>
        <w:top w:val="none" w:sz="0" w:space="0" w:color="auto"/>
        <w:left w:val="none" w:sz="0" w:space="0" w:color="auto"/>
        <w:bottom w:val="none" w:sz="0" w:space="0" w:color="auto"/>
        <w:right w:val="none" w:sz="0" w:space="0" w:color="auto"/>
      </w:divBdr>
    </w:div>
    <w:div w:id="1685211356">
      <w:bodyDiv w:val="1"/>
      <w:marLeft w:val="0"/>
      <w:marRight w:val="0"/>
      <w:marTop w:val="0"/>
      <w:marBottom w:val="0"/>
      <w:divBdr>
        <w:top w:val="none" w:sz="0" w:space="0" w:color="auto"/>
        <w:left w:val="none" w:sz="0" w:space="0" w:color="auto"/>
        <w:bottom w:val="none" w:sz="0" w:space="0" w:color="auto"/>
        <w:right w:val="none" w:sz="0" w:space="0" w:color="auto"/>
      </w:divBdr>
    </w:div>
    <w:div w:id="1768888163">
      <w:bodyDiv w:val="1"/>
      <w:marLeft w:val="0"/>
      <w:marRight w:val="0"/>
      <w:marTop w:val="0"/>
      <w:marBottom w:val="0"/>
      <w:divBdr>
        <w:top w:val="none" w:sz="0" w:space="0" w:color="auto"/>
        <w:left w:val="none" w:sz="0" w:space="0" w:color="auto"/>
        <w:bottom w:val="none" w:sz="0" w:space="0" w:color="auto"/>
        <w:right w:val="none" w:sz="0" w:space="0" w:color="auto"/>
      </w:divBdr>
    </w:div>
    <w:div w:id="1772387489">
      <w:bodyDiv w:val="1"/>
      <w:marLeft w:val="0"/>
      <w:marRight w:val="0"/>
      <w:marTop w:val="0"/>
      <w:marBottom w:val="0"/>
      <w:divBdr>
        <w:top w:val="none" w:sz="0" w:space="0" w:color="auto"/>
        <w:left w:val="none" w:sz="0" w:space="0" w:color="auto"/>
        <w:bottom w:val="none" w:sz="0" w:space="0" w:color="auto"/>
        <w:right w:val="none" w:sz="0" w:space="0" w:color="auto"/>
      </w:divBdr>
    </w:div>
    <w:div w:id="1772704425">
      <w:bodyDiv w:val="1"/>
      <w:marLeft w:val="0"/>
      <w:marRight w:val="0"/>
      <w:marTop w:val="0"/>
      <w:marBottom w:val="0"/>
      <w:divBdr>
        <w:top w:val="none" w:sz="0" w:space="0" w:color="auto"/>
        <w:left w:val="none" w:sz="0" w:space="0" w:color="auto"/>
        <w:bottom w:val="none" w:sz="0" w:space="0" w:color="auto"/>
        <w:right w:val="none" w:sz="0" w:space="0" w:color="auto"/>
      </w:divBdr>
    </w:div>
    <w:div w:id="1810516904">
      <w:bodyDiv w:val="1"/>
      <w:marLeft w:val="0"/>
      <w:marRight w:val="0"/>
      <w:marTop w:val="0"/>
      <w:marBottom w:val="0"/>
      <w:divBdr>
        <w:top w:val="none" w:sz="0" w:space="0" w:color="auto"/>
        <w:left w:val="none" w:sz="0" w:space="0" w:color="auto"/>
        <w:bottom w:val="none" w:sz="0" w:space="0" w:color="auto"/>
        <w:right w:val="none" w:sz="0" w:space="0" w:color="auto"/>
      </w:divBdr>
    </w:div>
    <w:div w:id="1880125555">
      <w:bodyDiv w:val="1"/>
      <w:marLeft w:val="0"/>
      <w:marRight w:val="0"/>
      <w:marTop w:val="0"/>
      <w:marBottom w:val="0"/>
      <w:divBdr>
        <w:top w:val="none" w:sz="0" w:space="0" w:color="auto"/>
        <w:left w:val="none" w:sz="0" w:space="0" w:color="auto"/>
        <w:bottom w:val="none" w:sz="0" w:space="0" w:color="auto"/>
        <w:right w:val="none" w:sz="0" w:space="0" w:color="auto"/>
      </w:divBdr>
    </w:div>
    <w:div w:id="1895502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o" ma:contentTypeID="0x0101009EF328074792F0449D641FA153ADF071" ma:contentTypeVersion="11" ma:contentTypeDescription="Crie um novo documento." ma:contentTypeScope="" ma:versionID="c2b7f788e24e6bfb6881da418af81e25">
  <xsd:schema xmlns:xsd="http://www.w3.org/2001/XMLSchema" xmlns:xs="http://www.w3.org/2001/XMLSchema" xmlns:p="http://schemas.microsoft.com/office/2006/metadata/properties" xmlns:ns2="6cc62e3d-e027-43d1-8987-23d25e1f818d" xmlns:ns3="39808d31-f096-45e8-bcbf-c9412ca6792e" targetNamespace="http://schemas.microsoft.com/office/2006/metadata/properties" ma:root="true" ma:fieldsID="a147a352112642f331fad5c2d2e77085" ns2:_="" ns3:_="">
    <xsd:import namespace="6cc62e3d-e027-43d1-8987-23d25e1f818d"/>
    <xsd:import namespace="39808d31-f096-45e8-bcbf-c9412ca6792e"/>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62e3d-e027-43d1-8987-23d25e1f818d"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Marcações de imagem" ma:readOnly="false" ma:fieldId="{5cf76f15-5ced-4ddc-b409-7134ff3c332f}" ma:taxonomyMulti="true" ma:sspId="b9e0c36b-dd37-4310-bc80-357b60d80e30"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808d31-f096-45e8-bcbf-c9412ca6792e"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c1465e46-cf93-4309-ac59-a34a39cb1dee}" ma:internalName="TaxCatchAll" ma:showField="CatchAllData" ma:web="39808d31-f096-45e8-bcbf-c9412ca6792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39808d31-f096-45e8-bcbf-c9412ca6792e" xsi:nil="true"/>
    <lcf76f155ced4ddcb4097134ff3c332f xmlns="6cc62e3d-e027-43d1-8987-23d25e1f818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BEBBE5C-DBDB-49AF-AB3D-63A8B7060CCD}">
  <ds:schemaRefs>
    <ds:schemaRef ds:uri="http://schemas.microsoft.com/sharepoint/v3/contenttype/forms"/>
  </ds:schemaRefs>
</ds:datastoreItem>
</file>

<file path=customXml/itemProps2.xml><?xml version="1.0" encoding="utf-8"?>
<ds:datastoreItem xmlns:ds="http://schemas.openxmlformats.org/officeDocument/2006/customXml" ds:itemID="{DEA58AB0-CB41-4B9D-A225-B64B75891DA6}">
  <ds:schemaRefs>
    <ds:schemaRef ds:uri="http://schemas.openxmlformats.org/officeDocument/2006/bibliography"/>
  </ds:schemaRefs>
</ds:datastoreItem>
</file>

<file path=customXml/itemProps3.xml><?xml version="1.0" encoding="utf-8"?>
<ds:datastoreItem xmlns:ds="http://schemas.openxmlformats.org/officeDocument/2006/customXml" ds:itemID="{E77524A8-5745-45B9-B65F-26A26DC7A0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62e3d-e027-43d1-8987-23d25e1f818d"/>
    <ds:schemaRef ds:uri="39808d31-f096-45e8-bcbf-c9412ca679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8E11D44-484D-4F40-8ABA-4E26CBE7C547}">
  <ds:schemaRefs>
    <ds:schemaRef ds:uri="http://schemas.microsoft.com/office/2006/metadata/properties"/>
    <ds:schemaRef ds:uri="http://schemas.microsoft.com/office/infopath/2007/PartnerControls"/>
    <ds:schemaRef ds:uri="39808d31-f096-45e8-bcbf-c9412ca6792e"/>
    <ds:schemaRef ds:uri="6cc62e3d-e027-43d1-8987-23d25e1f818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9</Pages>
  <Words>2482</Words>
  <Characters>12182</Characters>
  <Application>Microsoft Office Word</Application>
  <DocSecurity>0</DocSecurity>
  <Lines>101</Lines>
  <Paragraphs>29</Paragraphs>
  <ScaleCrop>false</ScaleCrop>
  <Company>SAM</Company>
  <LinksUpToDate>false</LinksUpToDate>
  <CharactersWithSpaces>14635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SITUACION DE LA AUTENTICACIÓN DE LAS NORMAS MERCOSUR DE LOS AÑOS 1996 A 1991</dc:title>
  <dc:creator>Informatica</dc:creator>
  <cp:lastModifiedBy>María Eugenia Gómez Urbieta</cp:lastModifiedBy>
  <cp:revision>38</cp:revision>
  <cp:lastPrinted>2022-05-27T18:04:00Z</cp:lastPrinted>
  <dcterms:created xsi:type="dcterms:W3CDTF">2025-07-17T18:50:00Z</dcterms:created>
  <dcterms:modified xsi:type="dcterms:W3CDTF">2025-09-12T14:03:00Z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0x0101009EF328074792F0449D641FA153ADF071</vt:lpwstr>
  </property>
  <property fmtid="{D5CDD505-2E9C-101B-9397-08002B2CF9AE}" pid="3" name="MediaServiceImageTags">
    <vt:lpwstr/>
  </property>
</Properties>
</file>