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005A" w14:textId="77777777" w:rsidR="00C20850" w:rsidRPr="00482318" w:rsidRDefault="00C20850" w:rsidP="00C208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4A442A"/>
          <w:sz w:val="24"/>
          <w:szCs w:val="24"/>
          <w:lang w:val="es-UY" w:eastAsia="es-UY"/>
        </w:rPr>
      </w:pPr>
    </w:p>
    <w:p w14:paraId="7B77296D" w14:textId="722E5B84" w:rsidR="00C20850" w:rsidRPr="00482318" w:rsidRDefault="00A704FD" w:rsidP="00C20850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COMUNICADO CONJUNTO DOS PRESIDENTES DOS ESTADOS PARTES DO MERCOSUL E ESTADOS ASSOCIADOS</w:t>
      </w:r>
    </w:p>
    <w:p w14:paraId="257D254D" w14:textId="77777777" w:rsidR="00C20850" w:rsidRPr="000A5A3A" w:rsidRDefault="00C20850" w:rsidP="00C20850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</w:p>
    <w:p w14:paraId="31EE69B8" w14:textId="6C45D5CE" w:rsidR="00B53F75" w:rsidRPr="008D47BA" w:rsidRDefault="00B53F75" w:rsidP="00B53F75">
      <w:pPr>
        <w:jc w:val="both"/>
        <w:rPr>
          <w:rFonts w:ascii="Arial" w:hAnsi="Arial" w:cs="Arial"/>
          <w:sz w:val="24"/>
          <w:szCs w:val="24"/>
        </w:rPr>
      </w:pPr>
      <w:r w:rsidRPr="008D47BA">
        <w:rPr>
          <w:rFonts w:ascii="Arial" w:hAnsi="Arial"/>
          <w:sz w:val="24"/>
        </w:rPr>
        <w:t xml:space="preserve">Os Presidentes da República Argentina, Alberto Fernández; da República do Paraguai, Mario Abdo Benítez; da República Oriental do Uruguai, </w:t>
      </w:r>
      <w:proofErr w:type="spellStart"/>
      <w:r w:rsidRPr="008D47BA">
        <w:rPr>
          <w:rFonts w:ascii="Arial" w:hAnsi="Arial"/>
          <w:sz w:val="24"/>
        </w:rPr>
        <w:t>Luis</w:t>
      </w:r>
      <w:proofErr w:type="spellEnd"/>
      <w:r w:rsidRPr="008D47BA">
        <w:rPr>
          <w:rFonts w:ascii="Arial" w:hAnsi="Arial"/>
          <w:sz w:val="24"/>
        </w:rPr>
        <w:t xml:space="preserve"> Lacalle Pou; e o Vice-Presidente da República Federativa do Brasil, Hamilton Mourão, </w:t>
      </w:r>
      <w:r>
        <w:rPr>
          <w:rFonts w:ascii="Arial" w:hAnsi="Arial"/>
          <w:sz w:val="24"/>
        </w:rPr>
        <w:t>e</w:t>
      </w:r>
      <w:r w:rsidRPr="008D47BA">
        <w:rPr>
          <w:rFonts w:ascii="Arial" w:hAnsi="Arial"/>
          <w:sz w:val="24"/>
        </w:rPr>
        <w:t xml:space="preserve">stados </w:t>
      </w:r>
      <w:r>
        <w:rPr>
          <w:rFonts w:ascii="Arial" w:hAnsi="Arial"/>
          <w:sz w:val="24"/>
        </w:rPr>
        <w:t>p</w:t>
      </w:r>
      <w:r w:rsidRPr="008D47BA">
        <w:rPr>
          <w:rFonts w:ascii="Arial" w:hAnsi="Arial"/>
          <w:sz w:val="24"/>
        </w:rPr>
        <w:t xml:space="preserve">artes do MERCOSUL, e as </w:t>
      </w:r>
      <w:r>
        <w:rPr>
          <w:rFonts w:ascii="Arial" w:hAnsi="Arial"/>
          <w:sz w:val="24"/>
        </w:rPr>
        <w:t>Altas A</w:t>
      </w:r>
      <w:r w:rsidRPr="008D47BA">
        <w:rPr>
          <w:rFonts w:ascii="Arial" w:hAnsi="Arial"/>
          <w:sz w:val="24"/>
        </w:rPr>
        <w:t xml:space="preserve">utoridades dos </w:t>
      </w:r>
      <w:r>
        <w:rPr>
          <w:rFonts w:ascii="Arial" w:hAnsi="Arial"/>
          <w:sz w:val="24"/>
        </w:rPr>
        <w:t>e</w:t>
      </w:r>
      <w:r w:rsidRPr="008D47BA">
        <w:rPr>
          <w:rFonts w:ascii="Arial" w:hAnsi="Arial"/>
          <w:sz w:val="24"/>
        </w:rPr>
        <w:t xml:space="preserve">stados </w:t>
      </w:r>
      <w:r>
        <w:rPr>
          <w:rFonts w:ascii="Arial" w:hAnsi="Arial"/>
          <w:sz w:val="24"/>
        </w:rPr>
        <w:t>a</w:t>
      </w:r>
      <w:r w:rsidRPr="008D47BA">
        <w:rPr>
          <w:rFonts w:ascii="Arial" w:hAnsi="Arial"/>
          <w:sz w:val="24"/>
        </w:rPr>
        <w:t>ssociados, reunidos em Montevidéu, Uruguai, por ocasião da LXI Cúpula de Presidentes do MERCOSUL, em 6 de dezembro de 2022:</w:t>
      </w:r>
    </w:p>
    <w:p w14:paraId="7C08B260" w14:textId="77777777" w:rsidR="00C20850" w:rsidRPr="000A5A3A" w:rsidRDefault="00C20850" w:rsidP="00C20850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14:paraId="74B005BB" w14:textId="77777777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t>REAFIRMAR</w:t>
      </w:r>
      <w:r>
        <w:rPr>
          <w:rFonts w:ascii="Arial" w:hAnsi="Arial"/>
          <w:b/>
          <w:bCs/>
          <w:sz w:val="24"/>
        </w:rPr>
        <w:t>AM</w:t>
      </w:r>
      <w:r>
        <w:rPr>
          <w:rFonts w:ascii="Arial" w:hAnsi="Arial"/>
          <w:sz w:val="24"/>
        </w:rPr>
        <w:t xml:space="preserve"> seu compromisso com a defesa e o fortalecimento das instituições democráticas e a plena vigência do Estado de Direito, dos princípios fundamentais do Direito Internacional, da proteção e promoção dos Direitos Humanos e do respeito irrestrito às liberdades fundamentais como condições essenciais para a consolidação e aprofundamento do processo de integração regional;</w:t>
      </w:r>
    </w:p>
    <w:p w14:paraId="1FD8D6B0" w14:textId="77777777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MANIFESTARAM </w:t>
      </w:r>
      <w:r>
        <w:rPr>
          <w:rFonts w:ascii="Arial" w:hAnsi="Arial"/>
          <w:sz w:val="24"/>
        </w:rPr>
        <w:t xml:space="preserve">sua vontade de continuar promovendo em nível multilateral </w:t>
      </w:r>
      <w:r w:rsidRPr="000A5A3A">
        <w:rPr>
          <w:rFonts w:ascii="Arial" w:hAnsi="Arial"/>
          <w:sz w:val="24"/>
        </w:rPr>
        <w:t>a</w:t>
      </w:r>
      <w:r>
        <w:rPr>
          <w:rFonts w:ascii="Arial" w:hAnsi="Arial"/>
          <w:color w:val="7030A0"/>
          <w:sz w:val="24"/>
        </w:rPr>
        <w:t xml:space="preserve"> </w:t>
      </w:r>
      <w:r>
        <w:rPr>
          <w:rFonts w:ascii="Arial" w:hAnsi="Arial"/>
          <w:sz w:val="24"/>
        </w:rPr>
        <w:t>busca de</w:t>
      </w:r>
      <w:r>
        <w:rPr>
          <w:rFonts w:ascii="Arial" w:hAnsi="Arial"/>
          <w:color w:val="7030A0"/>
          <w:sz w:val="24"/>
        </w:rPr>
        <w:t xml:space="preserve"> </w:t>
      </w:r>
      <w:r>
        <w:rPr>
          <w:rFonts w:ascii="Arial" w:hAnsi="Arial"/>
          <w:sz w:val="24"/>
        </w:rPr>
        <w:t xml:space="preserve">soluções acordadas para os temas mais urgentes em nível global e regional vinculados com a manutenção da paz e segurança internacionais, destacando que qualquer resposta aos desafios internacionais deve alinhar-se com a Carta das Nações Unidas e o direito internacional, levando devidamente em conta o papel das instituições multilaterais; </w:t>
      </w:r>
    </w:p>
    <w:p w14:paraId="5CB0EC3C" w14:textId="77777777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RATIFICARAM</w:t>
      </w:r>
      <w:r>
        <w:rPr>
          <w:rFonts w:ascii="Arial" w:hAnsi="Arial"/>
          <w:sz w:val="24"/>
        </w:rPr>
        <w:t xml:space="preserve"> seu firme compromisso com o desarme nuclear geral e completo e a não proliferação, em consonância com a Carta das Nações Unidas e o Direito Internacional. Em tal sentido, destacaram muito particularmente o caráter da América Latina e o Caribe como zona de paz e como a primeira zona livre de armas nucleares em uma região densamente povoada do planeta, em virtude do Tratado de </w:t>
      </w:r>
      <w:proofErr w:type="spellStart"/>
      <w:r>
        <w:rPr>
          <w:rFonts w:ascii="Arial" w:hAnsi="Arial"/>
          <w:sz w:val="24"/>
        </w:rPr>
        <w:t>Tlatelolco</w:t>
      </w:r>
      <w:proofErr w:type="spellEnd"/>
      <w:r>
        <w:rPr>
          <w:rFonts w:ascii="Arial" w:hAnsi="Arial"/>
          <w:sz w:val="24"/>
        </w:rPr>
        <w:t xml:space="preserve"> para a Proscrição das Armas Nucleares na América Latina e no Caribe;</w:t>
      </w:r>
    </w:p>
    <w:p w14:paraId="2DD24FF6" w14:textId="6D698403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REITERARAM</w:t>
      </w:r>
      <w:r>
        <w:rPr>
          <w:rFonts w:ascii="Arial" w:hAnsi="Arial"/>
          <w:sz w:val="24"/>
        </w:rPr>
        <w:t xml:space="preserve"> sua preocupação pelo conflito na Ucrânia e seus efeitos negativos, especialmente</w:t>
      </w:r>
      <w:r>
        <w:rPr>
          <w:rFonts w:ascii="Arial" w:hAnsi="Arial"/>
          <w:color w:val="4F81BD"/>
          <w:sz w:val="24"/>
        </w:rPr>
        <w:t xml:space="preserve"> </w:t>
      </w:r>
      <w:r>
        <w:rPr>
          <w:rFonts w:ascii="Arial" w:hAnsi="Arial"/>
          <w:sz w:val="24"/>
        </w:rPr>
        <w:t>sobre a população civil, a estabilidade regional e a segurança alimentar global, em particular, nos estados partes do MERCOSUL e associados, pela excessiva volatilidade dos preços dos produtos alimentares agrícolas, dos insumos de produção e dos custos de energia e transporte, e fizeram um chamado em busca da paz mundial, por meio da solução pacífica das controvérsias, com o fim de erradicar para sempre a ameaça e o uso da força;</w:t>
      </w:r>
    </w:p>
    <w:p w14:paraId="78524B42" w14:textId="77777777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REAFIRMARAM</w:t>
      </w:r>
      <w:r>
        <w:rPr>
          <w:rFonts w:ascii="Arial" w:hAnsi="Arial"/>
          <w:sz w:val="24"/>
        </w:rPr>
        <w:t xml:space="preserve"> seu compromisso em continuar fortalecendo e aprofundando o desenvolvimento econômico da região, buscando promover políticas que fortaleçam o comércio de bens e serviços, incorporando um enfoque inclusivo e sustentável em benefício dos cidadãos de nossos países.</w:t>
      </w:r>
    </w:p>
    <w:p w14:paraId="081E1A57" w14:textId="7C22356C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REFORÇAR</w:t>
      </w:r>
      <w:r>
        <w:rPr>
          <w:rFonts w:ascii="Arial" w:hAnsi="Arial"/>
          <w:b/>
          <w:bCs/>
          <w:sz w:val="24"/>
        </w:rPr>
        <w:t>AM</w:t>
      </w:r>
      <w:r>
        <w:rPr>
          <w:rFonts w:ascii="Arial" w:hAnsi="Arial"/>
          <w:sz w:val="24"/>
        </w:rPr>
        <w:t xml:space="preserve"> a necessidade de coordenar esforços para que as cadeias de abastecimento de alimentos e seus insumos, em particular fertilizantes, permaneçam livres e abertas, em consonância com os princípios e as regras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da Organização Mundial do Comércio, reafirmando seu apoio a um sistema multilateral de comércio baseado em regras, aberto, transparente, mais justo e não discriminatório, reconhecendo que o futuro da OMC depende de um compromisso real e efetivo de todos os membros com a implementação dos acordos existentes e com as negociações para a reforma das regras de comércio em matéria agropecuária, incluindo ação frente a todas as formas de ajuda e proteção que distorcem os mercados agropecuários, como acordaram na “Declaração sobre a Reforma das Regras Multilaterais do Comércio Agropecuário”, assinada na Décima Segunda Conferência Ministerial da OMC, pelos estados partes do MERCOSUL, pelo Estado Plurinacional da Bolívia em processo de adesão e pelos estados associados do Chile, Colômbia, Equador, Peru e outros países latino-americanos; </w:t>
      </w:r>
      <w:r>
        <w:rPr>
          <w:rFonts w:ascii="Arial" w:hAnsi="Arial"/>
          <w:b/>
          <w:sz w:val="24"/>
        </w:rPr>
        <w:t xml:space="preserve"> </w:t>
      </w:r>
    </w:p>
    <w:p w14:paraId="05E53CB9" w14:textId="02714C6F" w:rsidR="00C20850" w:rsidRPr="00482318" w:rsidRDefault="00C20850" w:rsidP="00C20850">
      <w:pPr>
        <w:numPr>
          <w:ilvl w:val="0"/>
          <w:numId w:val="1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RECONHECERAM </w:t>
      </w:r>
      <w:r>
        <w:rPr>
          <w:rFonts w:ascii="Arial" w:hAnsi="Arial"/>
          <w:sz w:val="24"/>
        </w:rPr>
        <w:t>a necessidade de avançar na luta contra a fome e a desnutrição, como prioridade fundamental, bem como na melhoria dos sistemas agroalimentares sustentáveis, mediante o fortalecimento e o desenvolvimento de políticas e programas voltados ao melhoramento da produtividade da agricultura familiar, à dinamização econômica das zonas rurais, ao manejo sustentável da agricultura e dos recursos hídricos, à melhoria dos processos de comercialização e distribuição eficiente de alimentos e da educação alimentar e nutricional;</w:t>
      </w:r>
    </w:p>
    <w:p w14:paraId="465732C3" w14:textId="0BBD8D4E" w:rsidR="00C20850" w:rsidRPr="00482318" w:rsidRDefault="00C20850" w:rsidP="00C20850">
      <w:pPr>
        <w:numPr>
          <w:ilvl w:val="0"/>
          <w:numId w:val="1"/>
        </w:numPr>
        <w:spacing w:before="240" w:after="24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RESSALTARAM </w:t>
      </w:r>
      <w:r>
        <w:rPr>
          <w:rFonts w:ascii="Arial" w:hAnsi="Arial"/>
          <w:sz w:val="24"/>
        </w:rPr>
        <w:t>a capacidade de nossos países de contribuir para a segurança alimentar global, por meio da promoção da agricultura sustentável, com um uso eficiente dos recursos, apoiado em novas tecnologias, boas práticas agrícolas e conhecimentos tradicionais, atentos à conservação e o uso sustentável da biodiversidade;</w:t>
      </w:r>
    </w:p>
    <w:p w14:paraId="22FF93EA" w14:textId="6D44DCA9" w:rsidR="00C20850" w:rsidRPr="00482318" w:rsidRDefault="00C20850" w:rsidP="00AB1FD7">
      <w:pPr>
        <w:numPr>
          <w:ilvl w:val="0"/>
          <w:numId w:val="1"/>
        </w:numPr>
        <w:spacing w:before="240" w:after="240"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SUBLINHARAM</w:t>
      </w:r>
      <w:r>
        <w:rPr>
          <w:rFonts w:ascii="Arial" w:hAnsi="Arial"/>
          <w:sz w:val="24"/>
        </w:rPr>
        <w:t xml:space="preserve"> os avanços regionais em matéria de Mulheres, Paz e Segurança, reconhecendo o potencial da Rede de Mediadoras do Cone Sul criada no ano 2021 e a ativa participação dos países do MERCOSUL nas distintas instâncias que abordam esta temática com o objetivo de evidenciar o impacto desproporcionado dos conflitos sobre as mulheres e crianças, e visibilizar e fortalecer o papel ativo das mulheres em lugares significativos de tomada de decisão, na resolução dos conflitos e na manutenção da paz;  </w:t>
      </w:r>
    </w:p>
    <w:p w14:paraId="41DA4F00" w14:textId="3ED47A20" w:rsidR="00C20850" w:rsidRPr="00482318" w:rsidRDefault="00482318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10. ACORDARAM </w:t>
      </w:r>
      <w:r>
        <w:rPr>
          <w:rFonts w:ascii="Arial" w:hAnsi="Arial"/>
          <w:sz w:val="24"/>
        </w:rPr>
        <w:t xml:space="preserve">seguir com atenção o trabalho do Órgão de Negociação Intergovernamental da Organização Mundial da Saúde (OMS), encarregado de redigir e negociar convênio, acordo ou outro instrumento internacional da OMS sobre a preparação e resposta frente a pandemias, no entendimento de que se trata de uma instância relevante para promover respostas multilaterais a emergências sanitárias com o alcance e magnitude da pandemia de COVID-19; </w:t>
      </w:r>
    </w:p>
    <w:p w14:paraId="6F15886A" w14:textId="73E0965F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11. DESTACARAM </w:t>
      </w:r>
      <w:r>
        <w:rPr>
          <w:rFonts w:ascii="Arial" w:hAnsi="Arial"/>
          <w:sz w:val="24"/>
        </w:rPr>
        <w:t xml:space="preserve">seu compromisso com a Agenda 2030 de Desenvolvimento Sustentável e a consecução dos Objetivos de Desenvolvimento Sustentável em suas dimensões social, econômica e ambiental. Diante do caráter multidimensional da agenda, ressaltaram a necessidade de transcender o âmbito de trabalho próprio da tradicional Ajuda Oficial ao Desenvolvimento (AOD) e redefinir os instrumentos e marcos dessa ajuda, que atualmente comprometem o acesso à cooperação técnica e financiamento dos países de renda média e alta, incluindo os que se graduaram sublinhando que os critérios de designação da Cooperação Internacional para o Desenvolvimento, em suas diferentes modalidades, incluindo a Assistência Oficial ao Desenvolvimento (AOD), devem sustentar-se em uma perspectiva multidimensional que permita construir uma arquitetura global da cooperação, na qual todos os países em desenvolvimento recebam apoio de acordo com seus desafios, vulnerabilidades, </w:t>
      </w:r>
      <w:r w:rsidR="00E72F61">
        <w:rPr>
          <w:rFonts w:ascii="Arial" w:hAnsi="Arial"/>
          <w:sz w:val="24"/>
        </w:rPr>
        <w:t>lacunas</w:t>
      </w:r>
      <w:r>
        <w:rPr>
          <w:rFonts w:ascii="Arial" w:hAnsi="Arial"/>
          <w:sz w:val="24"/>
        </w:rPr>
        <w:t xml:space="preserve"> estruturais e particulares, incluída a criação de capacidades e a transferência de tecnologia; </w:t>
      </w:r>
    </w:p>
    <w:p w14:paraId="53E97535" w14:textId="3096BD95" w:rsidR="00C20850" w:rsidRPr="00482318" w:rsidRDefault="00C20850" w:rsidP="001C67B8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12. MANIFESTARAM</w:t>
      </w:r>
      <w:r>
        <w:rPr>
          <w:rFonts w:ascii="Arial" w:hAnsi="Arial"/>
          <w:sz w:val="24"/>
        </w:rPr>
        <w:t xml:space="preserve"> a necessidade de redobrar esforços para combater a mudança do clima, mediante ações de redução de emissões, sobretudo as relacionadas com a mitigação e a adaptação a seus efeitos, no âmbito dos compromissos estabelecidos na Convenção-Quadro das Nações Unidas sobre Mudança do Clima, </w:t>
      </w:r>
      <w:r w:rsidR="006C3267">
        <w:rPr>
          <w:rFonts w:ascii="Arial" w:hAnsi="Arial"/>
          <w:sz w:val="24"/>
        </w:rPr>
        <w:t>seu</w:t>
      </w:r>
      <w:r>
        <w:rPr>
          <w:rFonts w:ascii="Arial" w:hAnsi="Arial"/>
          <w:sz w:val="24"/>
        </w:rPr>
        <w:t xml:space="preserve"> Acordo de Paris e os Objetivos de Desenvolvimento Sustentável da Agenda 2030. Esses objetivos poderão ser alcançados por meio do fortalecimento da cooperação regional, do financiamento climático internacional e da transferência de tecnologia de parte dos países desenvolvidos, destinada a fortalecer as capacidades dos países em desenvolvimento, e em conformidade com o princípio de responsabilidades comuns, mas diferenciadas, que proporcione soluções sustentáveis, ambiciosas, viáveis e duradouras, com uma perspectiva integral e de direitos humanos, adaptada às capacidades e necessidades de desenvolvimento específicas de nossos países, a fim de garantir uma maior resiliência às consequências da mudança do clima e propiciar o bem-estar das gerações presentes e futuras. </w:t>
      </w:r>
    </w:p>
    <w:p w14:paraId="122B9259" w14:textId="7765A2CF" w:rsidR="00C20850" w:rsidRPr="00482318" w:rsidRDefault="00C20850" w:rsidP="00F44E9E">
      <w:pPr>
        <w:spacing w:before="240" w:after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Deram as boas-vindas à decisão de estabelecer um Fundo de Perdas e Danos para Países Vulneráveis, adotado na COP27 de Mudança do Clima, celebrada em Sharm El Sheikh, Egito. </w:t>
      </w:r>
    </w:p>
    <w:p w14:paraId="2C9A20C6" w14:textId="785DE554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13. RATIFICARAM</w:t>
      </w:r>
      <w:r>
        <w:rPr>
          <w:rFonts w:ascii="Arial" w:hAnsi="Arial"/>
          <w:sz w:val="24"/>
        </w:rPr>
        <w:t xml:space="preserve"> seu compromisso com a Convenção sobre Diversidade Biológica, bem como sua vontade de realizar os maiores esforços para alcançar a adoção de um </w:t>
      </w:r>
      <w:r>
        <w:rPr>
          <w:rFonts w:ascii="Arial" w:hAnsi="Arial"/>
          <w:sz w:val="24"/>
        </w:rPr>
        <w:lastRenderedPageBreak/>
        <w:t xml:space="preserve">novo e ambicioso Marco Mundial da Diversidade Biológica posterior a </w:t>
      </w:r>
      <w:r w:rsidRPr="00977462">
        <w:rPr>
          <w:rFonts w:ascii="Arial" w:hAnsi="Arial"/>
          <w:sz w:val="24"/>
        </w:rPr>
        <w:t xml:space="preserve">2020 levando em consideração nossas realidades nacionais e em conformidade com os compromissos internacionais </w:t>
      </w:r>
      <w:r>
        <w:rPr>
          <w:rFonts w:ascii="Arial" w:hAnsi="Arial"/>
          <w:sz w:val="24"/>
        </w:rPr>
        <w:t xml:space="preserve"> para reverter a perda de todos os componentes da biodiversidade; que contemple o financiamento e os meios de implementação necessários para os países em desenvolvimento e a distribuição justa e igualitária de benefícios derivados da utilização dos recursos genéticos; </w:t>
      </w:r>
    </w:p>
    <w:p w14:paraId="2FE80780" w14:textId="77777777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14. DESTACARAM </w:t>
      </w:r>
      <w:r>
        <w:rPr>
          <w:rFonts w:ascii="Arial" w:hAnsi="Arial"/>
          <w:sz w:val="24"/>
        </w:rPr>
        <w:t>a importância do Quadro de Sendai para Redução de Risco de Desastres 2015-2030 e trabalhar em todos os níveis com uma abordagem integral do risco de desastres para reduzir a exposição de nossas populações para os efeitos de novas ameaças, por meio de políticas públicas que priorizem a redução de vulnerabilidades, a preparação e a resposta e a coordenação regional diante de emergências e desastres;</w:t>
      </w:r>
    </w:p>
    <w:p w14:paraId="1FF4E189" w14:textId="053AAD59" w:rsidR="00956495" w:rsidRPr="00482318" w:rsidRDefault="00C20850" w:rsidP="00956495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15. RESSALTARAM </w:t>
      </w:r>
      <w:r>
        <w:rPr>
          <w:rFonts w:ascii="Arial" w:hAnsi="Arial"/>
          <w:sz w:val="24"/>
        </w:rPr>
        <w:t xml:space="preserve">a importância da conservação dos oceanos, promovendo o uso sustentável de seus recursos, e reiteraram seu compromisso com o cumprimento do ODS Nº 14 "Conservação e uso sustentável dos oceanos, dos mares e dos recursos marinhos para o desenvolvimento sustentável". Além disso, destacaram a necessidade de avançar em uma conservação efetiva que assegure sua saúde a longo prazo, bem como a dos rios e afluentes; </w:t>
      </w:r>
    </w:p>
    <w:p w14:paraId="56D889B8" w14:textId="442DB6A4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sz w:val="24"/>
        </w:rPr>
        <w:t>16. RECONHECERAM</w:t>
      </w:r>
      <w:r>
        <w:rPr>
          <w:rFonts w:ascii="Arial" w:hAnsi="Arial"/>
          <w:sz w:val="24"/>
        </w:rPr>
        <w:t xml:space="preserve"> que a poluição por plásticos é uma das principais problemáticas ambientais globais e</w:t>
      </w:r>
      <w:r>
        <w:rPr>
          <w:rFonts w:ascii="Arial" w:hAnsi="Arial"/>
          <w:color w:val="7030A0"/>
          <w:sz w:val="24"/>
        </w:rPr>
        <w:t xml:space="preserve">, </w:t>
      </w:r>
      <w:r>
        <w:rPr>
          <w:rFonts w:ascii="Arial" w:hAnsi="Arial"/>
          <w:sz w:val="24"/>
        </w:rPr>
        <w:t xml:space="preserve">nesse sentido, comprometeram seus esforços para apoiar o trabalho do Comitê Intergovernamental de Negociação para desenvolver um instrumento internacional juridicamente vinculante para reduzir a poluição por plásticos, inclusive no meio marinho, cuja primeira reunião de negociação foi realizada em </w:t>
      </w:r>
      <w:proofErr w:type="spellStart"/>
      <w:r>
        <w:rPr>
          <w:rFonts w:ascii="Arial" w:hAnsi="Arial"/>
          <w:sz w:val="24"/>
        </w:rPr>
        <w:t>Punta</w:t>
      </w:r>
      <w:proofErr w:type="spellEnd"/>
      <w:r>
        <w:rPr>
          <w:rFonts w:ascii="Arial" w:hAnsi="Arial"/>
          <w:sz w:val="24"/>
        </w:rPr>
        <w:t xml:space="preserve"> del Este, Uruguai, entre os dias 28 de novembro e 2 de dezembro de 2022, instância que constitui um exitoso ponto de partida para as negociações de um acordo tão urgente </w:t>
      </w:r>
      <w:r w:rsidR="00261AD6">
        <w:rPr>
          <w:rFonts w:ascii="Arial" w:hAnsi="Arial"/>
          <w:sz w:val="24"/>
        </w:rPr>
        <w:t>quanto</w:t>
      </w:r>
      <w:r>
        <w:rPr>
          <w:rFonts w:ascii="Arial" w:hAnsi="Arial"/>
          <w:sz w:val="24"/>
        </w:rPr>
        <w:t xml:space="preserve"> importante, e que requererá a provisão dos adequados meios de implementação por parte dos países desenvolvidos, para cumprir com os compromissos derivados deste instrumento";</w:t>
      </w:r>
      <w:r>
        <w:rPr>
          <w:rFonts w:ascii="Arial" w:hAnsi="Arial"/>
          <w:b/>
          <w:color w:val="00B0F0"/>
          <w:sz w:val="24"/>
        </w:rPr>
        <w:t xml:space="preserve"> </w:t>
      </w:r>
    </w:p>
    <w:p w14:paraId="737A26F3" w14:textId="7B6E8A74" w:rsidR="00081CDF" w:rsidRPr="00482318" w:rsidRDefault="00C20850" w:rsidP="003E510C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17. SUBLINHARAM</w:t>
      </w:r>
      <w:r>
        <w:rPr>
          <w:rFonts w:ascii="Arial" w:hAnsi="Arial"/>
          <w:sz w:val="24"/>
        </w:rPr>
        <w:t xml:space="preserve"> a importância de aumentar os esforços para concretizar os projetos regionais em matéria de infraestrutura física, logística e digital, com vistas a alcançar uma maior competitividade regional e a interconectividade das regiões, destacando especialmente as iniciativas sobre corredores bioceânicos, viários e ferroviários;</w:t>
      </w:r>
    </w:p>
    <w:p w14:paraId="3ABAF2A3" w14:textId="7426589B" w:rsidR="00081CDF" w:rsidRPr="00081CDF" w:rsidRDefault="00C20850" w:rsidP="003E510C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18. REAFIRMARAM</w:t>
      </w:r>
      <w:r>
        <w:rPr>
          <w:rFonts w:ascii="Arial" w:hAnsi="Arial"/>
          <w:sz w:val="24"/>
        </w:rPr>
        <w:t xml:space="preserve"> a importância da Hidrovia Paraguai-Paraná como instrumento de integração regional e ferramenta para facilitar a navegação e o transporte comercial em igualdade de condições, favorecer seu desenvolvimento, modernização e eficiência, que permita o acesso em condições competitivas aos mercados ultramar. </w:t>
      </w:r>
    </w:p>
    <w:p w14:paraId="3CE55335" w14:textId="7BE90217" w:rsidR="00956495" w:rsidRDefault="00A17060" w:rsidP="00081CDF">
      <w:pPr>
        <w:spacing w:before="240" w:after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Nesse âmbito, sublinharam a importância do Comitê Intergovernamental Hidrovia Paraguai-Paraná (CIH) como espaço de concertação e diálogo e celebraram a realização de sua 48ª Reunião Ordinária, que foi realizada nos dias 30 e 31 de agosto passado na cidade de Buenos Aires;</w:t>
      </w:r>
    </w:p>
    <w:p w14:paraId="5A14DA49" w14:textId="61D0DDD5" w:rsidR="00C20850" w:rsidRPr="00482318" w:rsidRDefault="00C20850" w:rsidP="00A1706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19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>ENFATIZARAM</w:t>
      </w:r>
      <w:r>
        <w:rPr>
          <w:rFonts w:ascii="Arial" w:hAnsi="Arial"/>
          <w:sz w:val="24"/>
        </w:rPr>
        <w:t xml:space="preserve"> a importância de contar com o apoio de representantes de comunidades locais e de parlamentares dos estados, províncias e regiões diretamente vinculadas ao desenvolvimento de obras de infraestrutura e de integração regional, como o Corredor Bioceânico Viário Carmelo Peralta - Porto Murtinho - Portos do Norte do Chile. Igualmente, celebraram a realização da IX Reunião do Grupo de Trabalho sobre Corredor Bioceânico Viário, que aconteceu em novembro de 2022, no Chile, mediante o qual retomaram-se os trabalhos na matéria; </w:t>
      </w:r>
    </w:p>
    <w:p w14:paraId="267C18F9" w14:textId="4533C133" w:rsidR="002E30A7" w:rsidRPr="00482318" w:rsidRDefault="00C20850" w:rsidP="00482318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20. RESSALTARAM </w:t>
      </w:r>
      <w:r>
        <w:rPr>
          <w:rFonts w:ascii="Arial" w:hAnsi="Arial"/>
          <w:sz w:val="24"/>
        </w:rPr>
        <w:t xml:space="preserve">a importância do Projeto Corredor Ferroviário Bioceânico de Integração como uma iniciativa de interesse regional para o fortalecimento da integração física e o desenvolvimento socioeconômico da região, e a articulação do Oceano Pacífico com o Oceano Atlântico por meio de uma linha ferroviária que viabilize a logística do comércio exterior, gerando um crescimento econômico na região, reduzindo custos e tempos de transporte; </w:t>
      </w:r>
    </w:p>
    <w:p w14:paraId="608B2232" w14:textId="7568C2BD" w:rsidR="002E30A7" w:rsidRPr="00482318" w:rsidRDefault="00C20850" w:rsidP="002E30A7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21. RECONHECERAM</w:t>
      </w:r>
      <w:r>
        <w:rPr>
          <w:rFonts w:ascii="Arial" w:hAnsi="Arial"/>
          <w:sz w:val="24"/>
        </w:rPr>
        <w:t xml:space="preserve"> a importância e a necessidade de se trabalhar por uma gestão coordenada, sustentável e efetiva dos recursos hídricos transfronteiriços, que inclua, entre outras medidas, gestão de informação, boas práticas comuns e ações de adaptação à mudança do clima, incluindo a rápida e antecipada resposta à fenômenos </w:t>
      </w:r>
      <w:r w:rsidR="000D2277">
        <w:rPr>
          <w:rFonts w:ascii="Arial" w:hAnsi="Arial"/>
          <w:sz w:val="24"/>
        </w:rPr>
        <w:t>meteorológicos</w:t>
      </w:r>
      <w:r>
        <w:rPr>
          <w:rFonts w:ascii="Arial" w:hAnsi="Arial"/>
          <w:sz w:val="24"/>
        </w:rPr>
        <w:t xml:space="preserve"> extremos, bem como medidas relacionadas </w:t>
      </w:r>
      <w:r w:rsidR="00571B6F">
        <w:rPr>
          <w:rFonts w:ascii="Arial" w:hAnsi="Arial"/>
          <w:sz w:val="24"/>
        </w:rPr>
        <w:t>ao</w:t>
      </w:r>
      <w:r>
        <w:rPr>
          <w:rFonts w:ascii="Arial" w:hAnsi="Arial"/>
          <w:sz w:val="24"/>
        </w:rPr>
        <w:t xml:space="preserve">s ecossistemas vinculados; </w:t>
      </w:r>
    </w:p>
    <w:p w14:paraId="70272971" w14:textId="55831536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22. DESTACARAM </w:t>
      </w:r>
      <w:r>
        <w:rPr>
          <w:rFonts w:ascii="Arial" w:hAnsi="Arial"/>
          <w:sz w:val="24"/>
        </w:rPr>
        <w:t xml:space="preserve">o fortalecimento da cooperação para a gestão sustentável e eficaz, bem como o aproveitamento múltiplo e igualitário dos recursos hídricos na Bacia do Prata e a promoção e o desenvolvimento de projetos e iniciativas concretas que permitam identificar soluções para assegurar a ação mancomunada que permitirá o desenvolvimento harmônico e equilibrado, bem como o ótimo aproveitamento dos grandes recursos naturais da região e sua preservação para gerações futuras, por meio da utilização racional desses recursos; </w:t>
      </w:r>
    </w:p>
    <w:p w14:paraId="296DCEA3" w14:textId="05576E28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23. REITERARAM</w:t>
      </w:r>
      <w:r>
        <w:rPr>
          <w:rFonts w:ascii="Arial" w:hAnsi="Arial"/>
          <w:sz w:val="24"/>
        </w:rPr>
        <w:t xml:space="preserve"> sua vontade de seguir trabalhando no Plano de Ação de Puerto </w:t>
      </w:r>
      <w:proofErr w:type="spellStart"/>
      <w:r>
        <w:rPr>
          <w:rFonts w:ascii="Arial" w:hAnsi="Arial"/>
          <w:sz w:val="24"/>
        </w:rPr>
        <w:t>Vallarta</w:t>
      </w:r>
      <w:proofErr w:type="spellEnd"/>
      <w:r>
        <w:rPr>
          <w:rFonts w:ascii="Arial" w:hAnsi="Arial"/>
          <w:sz w:val="24"/>
        </w:rPr>
        <w:t>, com o objetivo de aproximar o MERCOSU</w:t>
      </w:r>
      <w:r w:rsidR="00A1244D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 e a Aliança do Pacífico e avançar no propósito comum de aprofundar a integração regional;</w:t>
      </w:r>
    </w:p>
    <w:p w14:paraId="749CFCFB" w14:textId="652DBE60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24. REAFIRMARAM </w:t>
      </w:r>
      <w:r>
        <w:rPr>
          <w:rFonts w:ascii="Arial" w:hAnsi="Arial"/>
          <w:sz w:val="24"/>
        </w:rPr>
        <w:t xml:space="preserve">seu compromisso com o aprofundamento e otimização da participação da sociedade civil, incluindo a representação dos povos indígenas ou originários nas instâncias pertinentes de coordenação do bloco, avançando no </w:t>
      </w:r>
      <w:r>
        <w:rPr>
          <w:rFonts w:ascii="Arial" w:hAnsi="Arial"/>
          <w:sz w:val="24"/>
        </w:rPr>
        <w:lastRenderedPageBreak/>
        <w:t>desenvolvimento de um modelo de estrutura e funcionamento de foros de diálogo que constituam uma plataforma adequada para interagir e receber suas contribuições;</w:t>
      </w:r>
    </w:p>
    <w:p w14:paraId="722EF2D0" w14:textId="77777777" w:rsidR="00E72F61" w:rsidRDefault="00C20850" w:rsidP="00A704FD">
      <w:pPr>
        <w:spacing w:before="240" w:after="240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25. RECONHECERAM</w:t>
      </w:r>
      <w:r>
        <w:rPr>
          <w:rFonts w:ascii="Arial" w:hAnsi="Arial"/>
          <w:sz w:val="24"/>
        </w:rPr>
        <w:t xml:space="preserve"> a importância dos censos nacionais que levam adiante vários países da região como ferramentas indispensáveis para o planejamento e o cumprimento dos Objetivos de Desenvolvimento Sustentável, e nesse sentido</w:t>
      </w:r>
      <w:r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sz w:val="24"/>
        </w:rPr>
        <w:t>sublinharam a importância de que esses censos sejam realizados sobre a base de estritos critérios técnicos;</w:t>
      </w:r>
      <w:r>
        <w:rPr>
          <w:rFonts w:ascii="Arial" w:hAnsi="Arial"/>
          <w:color w:val="8064A2" w:themeColor="accent4"/>
          <w:sz w:val="24"/>
        </w:rPr>
        <w:t xml:space="preserve"> </w:t>
      </w:r>
    </w:p>
    <w:p w14:paraId="05212CF5" w14:textId="38A0216C" w:rsidR="00A704FD" w:rsidRPr="00482318" w:rsidRDefault="00A704FD" w:rsidP="00A704FD">
      <w:pPr>
        <w:spacing w:before="240" w:after="240"/>
        <w:ind w:left="284" w:hanging="284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hAnsi="Arial"/>
          <w:b/>
          <w:sz w:val="24"/>
        </w:rPr>
        <w:t xml:space="preserve">26. REAFIRMARAM </w:t>
      </w:r>
      <w:r>
        <w:rPr>
          <w:rFonts w:ascii="Arial" w:hAnsi="Arial"/>
          <w:sz w:val="24"/>
        </w:rPr>
        <w:t xml:space="preserve">seu compromisso com uma migração segura, ordenada e regular, em estrito respeito aos direitos humanos e sob os princípios de solidariedade e responsabilidade compartilhada, e expressaram a necessidade de atender as causas e os desafios multidimensionais da migração com uma perspectiva humanitária e de cooperação regional e internacional, promovendo a coesão social e buscando a integração das pessoas migrantes, bem como a assistência às comunidades de acolhida; </w:t>
      </w:r>
    </w:p>
    <w:p w14:paraId="45A22B1C" w14:textId="5394E5B8" w:rsidR="00C20850" w:rsidRPr="00482318" w:rsidRDefault="00B131BE" w:rsidP="00C20850">
      <w:pPr>
        <w:spacing w:before="240" w:after="240"/>
        <w:ind w:left="284" w:hanging="284"/>
        <w:jc w:val="both"/>
        <w:rPr>
          <w:rFonts w:ascii="Arial" w:eastAsia="Arial" w:hAnsi="Arial" w:cs="Arial"/>
          <w:iCs/>
          <w:color w:val="FF0000"/>
          <w:sz w:val="24"/>
          <w:szCs w:val="24"/>
        </w:rPr>
      </w:pPr>
      <w:r>
        <w:rPr>
          <w:rFonts w:ascii="Arial" w:hAnsi="Arial"/>
          <w:b/>
          <w:sz w:val="24"/>
        </w:rPr>
        <w:t xml:space="preserve">27. EXPRESSARAM </w:t>
      </w:r>
      <w:r>
        <w:rPr>
          <w:rFonts w:ascii="Arial" w:hAnsi="Arial"/>
          <w:sz w:val="24"/>
        </w:rPr>
        <w:t xml:space="preserve">a importância do trabalho desenvolvido pelas diferentes comissões permanentes da RAADH e enfatizaram a necessidade de continuar trabalhando de forma conjunta a fim de alcançar o pleno respeito, promoção e proteção dos Direitos Humanos e as liberdades individuais e coletivas em todos os estados partes e associados; </w:t>
      </w:r>
    </w:p>
    <w:p w14:paraId="795CA9CF" w14:textId="3AE4B8A5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28.</w:t>
      </w:r>
      <w:r>
        <w:rPr>
          <w:rFonts w:ascii="Arial" w:hAnsi="Arial"/>
          <w:b/>
          <w:color w:val="7030A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DESTACARAM </w:t>
      </w:r>
      <w:r>
        <w:rPr>
          <w:rFonts w:ascii="Arial" w:hAnsi="Arial"/>
          <w:sz w:val="24"/>
        </w:rPr>
        <w:t xml:space="preserve">a celebração da Reunião de Ministros e Altas Autoridades sobre os Direitos dos Afrodescendentes, e os avanços de seu Programa do Trabalho 2021 -2022. Comprometeram-se em continuar trabalhando no intercâmbio de boas práticas e políticas públicas voltadas a diminuir as </w:t>
      </w:r>
      <w:r w:rsidR="00E72F61">
        <w:rPr>
          <w:rFonts w:ascii="Arial" w:hAnsi="Arial"/>
          <w:sz w:val="24"/>
        </w:rPr>
        <w:t>lacunas</w:t>
      </w:r>
      <w:r>
        <w:rPr>
          <w:rFonts w:ascii="Arial" w:hAnsi="Arial"/>
          <w:sz w:val="24"/>
        </w:rPr>
        <w:t xml:space="preserve"> estruturais históricas que deve </w:t>
      </w:r>
      <w:r w:rsidR="005109DC">
        <w:rPr>
          <w:rFonts w:ascii="Arial" w:hAnsi="Arial"/>
          <w:sz w:val="24"/>
        </w:rPr>
        <w:t>enfrentar</w:t>
      </w:r>
      <w:r>
        <w:rPr>
          <w:rFonts w:ascii="Arial" w:hAnsi="Arial"/>
          <w:sz w:val="24"/>
        </w:rPr>
        <w:t xml:space="preserve"> a população afrodescendente na região; </w:t>
      </w:r>
    </w:p>
    <w:p w14:paraId="72EB65D4" w14:textId="59F53243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b/>
          <w:sz w:val="24"/>
        </w:rPr>
        <w:t xml:space="preserve">29. SUBLINHARAM </w:t>
      </w:r>
      <w:r>
        <w:rPr>
          <w:rFonts w:ascii="Arial" w:hAnsi="Arial"/>
          <w:sz w:val="24"/>
        </w:rPr>
        <w:t>que o MERCOSUL é uma região com uma grande diversidade cultural, étnica, linguística, natural, territorial e que possui muitas línguas indígenas. Comprometeram-se a trabalhar para proteger as culturas e sistemas de conhecimento aos quais pertencem essas línguas, com um especial foco nos idosos protetores de uma herança ancestral;</w:t>
      </w:r>
    </w:p>
    <w:p w14:paraId="288ED758" w14:textId="4FD640E1" w:rsidR="001B332F" w:rsidRPr="00482318" w:rsidRDefault="00C20850" w:rsidP="006550F4">
      <w:pPr>
        <w:spacing w:before="240" w:after="240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</w:rPr>
        <w:t xml:space="preserve">Em tal sentido, expressaram seu compromisso com a Declaração das Nações Unidas sobre os Direitos dos Povos Indígenas e acolheram com </w:t>
      </w:r>
      <w:proofErr w:type="gramStart"/>
      <w:r>
        <w:rPr>
          <w:rFonts w:ascii="Arial" w:hAnsi="Arial"/>
          <w:sz w:val="24"/>
        </w:rPr>
        <w:t>beneplácito</w:t>
      </w:r>
      <w:proofErr w:type="gramEnd"/>
      <w:r>
        <w:rPr>
          <w:rFonts w:ascii="Arial" w:hAnsi="Arial"/>
          <w:sz w:val="24"/>
        </w:rPr>
        <w:t xml:space="preserve"> o início da Década Internacional das Línguas Indígenas 2022-2032, adotada pela Assembleia Geral das Nações Unidas para chamar a atenção sobre o risco de perda de línguas indígenas. Nesse âmbito, comprometem-se a projetar e implementar políticas públicas que avancem para a revitalização, preservação e o desenvolvimento das línguas indígenas, protegendo as culturas e sistemas de conhecimento aos quais pertencem essas línguas, com um especial foco nos idosos, protetores de uma herança ancestral. </w:t>
      </w:r>
      <w:r>
        <w:rPr>
          <w:rFonts w:ascii="Arial" w:hAnsi="Arial"/>
          <w:sz w:val="24"/>
        </w:rPr>
        <w:lastRenderedPageBreak/>
        <w:t>Igualmente, saudaram a Iniciativa do Instituto Ibero-americano de Línguas Indígenas (IIALI);</w:t>
      </w:r>
    </w:p>
    <w:p w14:paraId="6CA8E7BF" w14:textId="751BDE13" w:rsidR="00C20850" w:rsidRPr="00482318" w:rsidRDefault="00A704FD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30. INCENTIVARAM</w:t>
      </w:r>
      <w:r>
        <w:rPr>
          <w:rFonts w:ascii="Arial" w:hAnsi="Arial"/>
          <w:sz w:val="24"/>
        </w:rPr>
        <w:t xml:space="preserve"> a assinatura do acordo da ampliação da Carta de Entendimento entre a Reunião Especializada de Defensores Públicos </w:t>
      </w:r>
      <w:r w:rsidR="00194E0C">
        <w:rPr>
          <w:rFonts w:ascii="Arial" w:hAnsi="Arial"/>
          <w:sz w:val="24"/>
        </w:rPr>
        <w:t>Oficiais e</w:t>
      </w:r>
      <w:r>
        <w:rPr>
          <w:rFonts w:ascii="Arial" w:hAnsi="Arial"/>
          <w:sz w:val="24"/>
        </w:rPr>
        <w:t xml:space="preserve"> a Reunião de Altas Autoridades em Direitos Humanos do MERCOSUL, a qual permitirá operacionalizar e consolidar as atividades conjuntas entre ambas as Reuniões, e ressaltaram a necessidade de avançar no fortalecimento dos Sistemas de Defensoria Pública Oficial, no âmbito nacional, provincial, estadual e/ou departamental</w:t>
      </w:r>
      <w:r w:rsidR="00DA7DB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conforme corresponda; </w:t>
      </w:r>
    </w:p>
    <w:p w14:paraId="26CF83D9" w14:textId="684FD99C" w:rsidR="00C20850" w:rsidRPr="00482318" w:rsidRDefault="002B62A9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31. REITERARAM </w:t>
      </w:r>
      <w:r>
        <w:rPr>
          <w:rFonts w:ascii="Arial" w:hAnsi="Arial"/>
          <w:sz w:val="24"/>
        </w:rPr>
        <w:t>o compromisso de promover a cooperação internacional relativa ao problema mundial das drogas com o objetivo de fortalecer as políticas de cuidado, atenção e tratamento, prevenção, inserção social, gestão de riscos e redução de danos, a partir de um enfoque de saúde pública, com perspectiva de Gênero e Direitos Humanos e baseadas em evidência científica, situando a pessoa, sua liberdade, dignidade e integridade no centro da política pública, evitando a criminalização das pessoas que consomem</w:t>
      </w:r>
      <w:r>
        <w:rPr>
          <w:rFonts w:ascii="Arial" w:hAnsi="Arial"/>
          <w:b/>
          <w:sz w:val="24"/>
        </w:rPr>
        <w:t xml:space="preserve">; </w:t>
      </w:r>
    </w:p>
    <w:p w14:paraId="0201E03F" w14:textId="1C0AA0E4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32. EXORTARAM</w:t>
      </w:r>
      <w:r>
        <w:rPr>
          <w:rFonts w:ascii="Arial" w:hAnsi="Arial"/>
          <w:sz w:val="24"/>
        </w:rPr>
        <w:t xml:space="preserve"> a comunidade internacional à eliminação da pena de morte, a realizar os maiores esforços para adotar medidas alternativas ao encarceramento relacionados a crimes menores de drogas, conforme a legislação nacional de cada país, bem como cooperar com o objetivo de combater o tráfico ilícito de drogas, tanto em nível nacional como em nível regional e internacional, em cumprimento do Princípio de Responsabilidade comum e compartilhada; </w:t>
      </w:r>
    </w:p>
    <w:p w14:paraId="6643F86D" w14:textId="2C376BC2" w:rsidR="002B62A9" w:rsidRPr="00482318" w:rsidRDefault="00C20850" w:rsidP="00631333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33. CELEBRARAM</w:t>
      </w:r>
      <w:r>
        <w:rPr>
          <w:rFonts w:ascii="Arial" w:hAnsi="Arial"/>
          <w:sz w:val="24"/>
        </w:rPr>
        <w:t xml:space="preserve"> a organização do Seminário Virtual Mesa Técnica: “Contribuições da educação financeira para potencializar a autonomia das famílias em situação de vulnerabilidade social”, no âmbito da Reunião de Ministros de Desenvolvimento Social. Por sua vez, o intercâmbio das lições aprendidas da experiência “Futuro na Mão” do Ministério da Cidadania do Brasil</w:t>
      </w:r>
      <w:r>
        <w:rPr>
          <w:rFonts w:ascii="Arial" w:hAnsi="Arial"/>
          <w:b/>
          <w:color w:val="7030A0"/>
          <w:sz w:val="24"/>
        </w:rPr>
        <w:t xml:space="preserve"> </w:t>
      </w:r>
      <w:r>
        <w:rPr>
          <w:rFonts w:ascii="Arial" w:hAnsi="Arial"/>
          <w:sz w:val="24"/>
        </w:rPr>
        <w:t>pôs em evidência a utilidade de apoiar a capacitação de populações vulneráveis em conhecimentos de gestão financeira que lhes permitam desenvolver pequenos empreendimentos sustentáveis;</w:t>
      </w:r>
      <w:r>
        <w:rPr>
          <w:rFonts w:ascii="Arial" w:hAnsi="Arial"/>
          <w:b/>
          <w:sz w:val="24"/>
        </w:rPr>
        <w:t xml:space="preserve"> </w:t>
      </w:r>
    </w:p>
    <w:p w14:paraId="50682031" w14:textId="29760D3F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34. ACOLHERAM COM </w:t>
      </w:r>
      <w:proofErr w:type="gramStart"/>
      <w:r>
        <w:rPr>
          <w:rFonts w:ascii="Arial" w:hAnsi="Arial"/>
          <w:b/>
          <w:sz w:val="24"/>
        </w:rPr>
        <w:t>BENEPLÁCITO</w:t>
      </w:r>
      <w:proofErr w:type="gramEnd"/>
      <w:r>
        <w:rPr>
          <w:rFonts w:ascii="Arial" w:hAnsi="Arial"/>
          <w:sz w:val="24"/>
        </w:rPr>
        <w:t xml:space="preserve"> o desenvolvimento do Curso “Mercosul Social e Agenda 2030: Repensando as políticas públicas para não deixar ninguém para trás”, e do Seminário Internacional "Transferências Monetárias e arquiteturas digitais para a proteção social. Tendências e novos desafios", que favoreceram a reflexão entre quem tem a seu cargo o desenho, a gestão e a avaliação das políticas públicas de proteção social, com especial ênfase em populações vulneráveis; </w:t>
      </w:r>
      <w:r>
        <w:rPr>
          <w:rFonts w:ascii="Arial" w:hAnsi="Arial"/>
          <w:b/>
          <w:sz w:val="24"/>
        </w:rPr>
        <w:t xml:space="preserve"> </w:t>
      </w:r>
    </w:p>
    <w:p w14:paraId="459FAD3E" w14:textId="756D2139" w:rsidR="00956495" w:rsidRPr="00482318" w:rsidRDefault="00C20850" w:rsidP="00956495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35. CELEBRARAM</w:t>
      </w:r>
      <w:r>
        <w:rPr>
          <w:rFonts w:ascii="Arial" w:hAnsi="Arial"/>
          <w:sz w:val="24"/>
        </w:rPr>
        <w:t xml:space="preserve"> a participação das altas autoridades da cultura do MERCOSUL na Conferência Mundial da UNESCO sobre Políticas Culturais e Desenvolvimento Sustentável (MONDIACULT 2022), na qual se adotou a “Declaração pela Cultura”, que </w:t>
      </w:r>
      <w:r>
        <w:rPr>
          <w:rFonts w:ascii="Arial" w:hAnsi="Arial"/>
          <w:sz w:val="24"/>
        </w:rPr>
        <w:lastRenderedPageBreak/>
        <w:t xml:space="preserve">reconhece a cultura como um “bem público mundial”, ressaltando a necessidade da  incorporação da cultura de maneira explícita na próxima agenda de desenvolvimento sustentável, posterior à 2030; portanto, o MERCOSUL cultural se somará às iniciativas de diálogo efetivo com os estados membros da UNESCO e outros atores relevantes para alcançar este propósito e faz um chamado para que se somem outros espaços </w:t>
      </w:r>
      <w:r w:rsidR="00536794">
        <w:rPr>
          <w:rFonts w:ascii="Arial" w:hAnsi="Arial"/>
          <w:sz w:val="24"/>
        </w:rPr>
        <w:t>sub-regionais</w:t>
      </w:r>
      <w:r>
        <w:rPr>
          <w:rFonts w:ascii="Arial" w:hAnsi="Arial"/>
          <w:sz w:val="24"/>
        </w:rPr>
        <w:t xml:space="preserve">, regionais e internacionais;  </w:t>
      </w:r>
    </w:p>
    <w:p w14:paraId="5507F0E2" w14:textId="694A8508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36. DESTACARAM </w:t>
      </w:r>
      <w:r>
        <w:rPr>
          <w:rFonts w:ascii="Arial" w:hAnsi="Arial"/>
          <w:sz w:val="24"/>
        </w:rPr>
        <w:t xml:space="preserve">o lançamento da Biblioteca Virtual “Clássicos do MERCOSUL” como uma contribuição ao desenvolvimento cultural do bloco, que gera um valioso acervo identitário, coadjuvando com a democratização da cultura e do conhecimento; </w:t>
      </w:r>
    </w:p>
    <w:p w14:paraId="7EFC354E" w14:textId="4EA40654" w:rsidR="009471EF" w:rsidRPr="00482318" w:rsidRDefault="00C20850" w:rsidP="00C371FF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37.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SAUDARAM </w:t>
      </w:r>
      <w:r>
        <w:rPr>
          <w:rFonts w:ascii="Arial" w:hAnsi="Arial"/>
          <w:sz w:val="24"/>
        </w:rPr>
        <w:t>os resultados alcançados pelas comissões de Economia Criativa e Indústrias Culturais, Diversidade Cultural, Patrimônio Cultural e Informação Cultural, que reafirmaram o papel fundamental do MERCOSUL para a promoção da diversidade das expressões culturais, o fomento das artes, a proteção do patrimônio cultural. Destaca-se o trabalho realizado na preparação em face do MICSUL 2023, no Chile, para promover as Indústrias Culturais e Criativas da região;</w:t>
      </w:r>
    </w:p>
    <w:p w14:paraId="18487ECB" w14:textId="3087CD14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38.</w:t>
      </w:r>
      <w:r>
        <w:rPr>
          <w:rFonts w:ascii="Arial" w:hAnsi="Arial"/>
          <w:b/>
          <w:color w:val="7030A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DESTACARAM </w:t>
      </w:r>
      <w:r>
        <w:rPr>
          <w:rFonts w:ascii="Arial" w:hAnsi="Arial"/>
          <w:sz w:val="24"/>
        </w:rPr>
        <w:t xml:space="preserve">a adoção da “Declaração de Montevidéu sobre a Luta Contra o Crime Organizado Transnacional”, que reforça o compromisso de continuar trabalhando no estabelecimento de canais de comunicação rápidos, diretos e seguros de intercâmbio de informação criminal, em consonância com as normas jurídicas internas de cada </w:t>
      </w:r>
      <w:r w:rsidR="001000AF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stado e demais disposições em nível do MERCOSUL;</w:t>
      </w:r>
    </w:p>
    <w:p w14:paraId="44930B8D" w14:textId="53D599EB" w:rsidR="00B131BE" w:rsidRPr="00482318" w:rsidRDefault="006550F4" w:rsidP="00482318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39. EXPRESSARAM</w:t>
      </w:r>
      <w:r>
        <w:rPr>
          <w:rFonts w:ascii="Arial" w:hAnsi="Arial"/>
          <w:sz w:val="24"/>
        </w:rPr>
        <w:t xml:space="preserve"> sua satisfação pela realização do Seminário Virtual Regional sobre </w:t>
      </w:r>
      <w:proofErr w:type="spellStart"/>
      <w:r>
        <w:rPr>
          <w:rFonts w:ascii="Arial" w:hAnsi="Arial"/>
          <w:sz w:val="24"/>
        </w:rPr>
        <w:t>Macrocriminalidade</w:t>
      </w:r>
      <w:proofErr w:type="spellEnd"/>
      <w:r>
        <w:rPr>
          <w:rFonts w:ascii="Arial" w:hAnsi="Arial"/>
          <w:sz w:val="24"/>
        </w:rPr>
        <w:t xml:space="preserve"> e Cibercrime, onde se estabeleceu um enriquecedor espaço de intercâmbio entre especialistas dos estados partes, em matéria de </w:t>
      </w:r>
      <w:proofErr w:type="spellStart"/>
      <w:r>
        <w:rPr>
          <w:rFonts w:ascii="Arial" w:hAnsi="Arial"/>
          <w:sz w:val="24"/>
        </w:rPr>
        <w:t>macrocriminalidade</w:t>
      </w:r>
      <w:proofErr w:type="spellEnd"/>
      <w:r>
        <w:rPr>
          <w:rFonts w:ascii="Arial" w:hAnsi="Arial"/>
          <w:sz w:val="24"/>
        </w:rPr>
        <w:t xml:space="preserve"> e crimes transnacionais e se conseguiu conhecer as diretrizes gerais das políticas públicas que os estados levam em matéria de prevenção e pesquisa desse flagelo; </w:t>
      </w:r>
    </w:p>
    <w:p w14:paraId="3034E7B2" w14:textId="4DAC29E5" w:rsidR="00C20850" w:rsidRPr="00482318" w:rsidRDefault="00A704FD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40. SUBLINHARAM</w:t>
      </w:r>
      <w:r>
        <w:rPr>
          <w:rFonts w:ascii="Arial" w:hAnsi="Arial"/>
          <w:sz w:val="24"/>
        </w:rPr>
        <w:t xml:space="preserve"> a importância da assinatura de todos os estados partes do MERCOSUL, do Acordo-Quadro para a Disposição de Bens Confiscados do Crime Organizado Transnacional no MERCOSUL. Igualmente, destacaram a inauguração da Rede Latino-Americana de Autoridades Centrais no mês de setembro de 2022, na cidade de Santa Fé; </w:t>
      </w:r>
    </w:p>
    <w:p w14:paraId="78A9691C" w14:textId="2AA4A1D4" w:rsidR="00C20850" w:rsidRPr="00482318" w:rsidRDefault="00A704FD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41. MANIFESTARAM</w:t>
      </w:r>
      <w:r>
        <w:rPr>
          <w:rFonts w:ascii="Arial" w:hAnsi="Arial"/>
          <w:sz w:val="24"/>
        </w:rPr>
        <w:t xml:space="preserve"> sua solidariedade com o Governo e o Povo da República Argentina pelo atentado contra a vida da Vice-Presidente, Dra. Cristina Fernández de Kirchner, ação que constitui uma afronta à democracia e perante a qual condenamos energicamente. A quase 40 anos ininterruptos de democracia desse país, a sociedade argentina soube consolidar suas instituições republicanas, fomentando a convivência pacífica e o respeito e, nesse sentido, expressamos a necessidade do pronto e completo esclarecimento e condenação dos responsáveis desse lamentável fato, ao </w:t>
      </w:r>
      <w:r>
        <w:rPr>
          <w:rFonts w:ascii="Arial" w:hAnsi="Arial"/>
          <w:sz w:val="24"/>
        </w:rPr>
        <w:lastRenderedPageBreak/>
        <w:t xml:space="preserve">mesmo tempo que rechaçamos toda forma de violência política e fazemos um chamado a buscar os caminhos que conduzam à paz social e ao respeito das instituições democráticas e o Estado de Direito. </w:t>
      </w:r>
    </w:p>
    <w:p w14:paraId="16324206" w14:textId="2229F48B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42. </w:t>
      </w:r>
      <w:r w:rsidR="002E0A74">
        <w:rPr>
          <w:rFonts w:ascii="Arial" w:hAnsi="Arial"/>
          <w:b/>
          <w:sz w:val="24"/>
        </w:rPr>
        <w:t xml:space="preserve">CONDENARAM </w:t>
      </w:r>
      <w:r w:rsidR="00A36F55">
        <w:rPr>
          <w:rFonts w:ascii="Arial" w:hAnsi="Arial"/>
          <w:bCs/>
          <w:sz w:val="24"/>
        </w:rPr>
        <w:t xml:space="preserve">energicamente </w:t>
      </w:r>
      <w:r>
        <w:rPr>
          <w:rFonts w:ascii="Arial" w:hAnsi="Arial"/>
          <w:sz w:val="24"/>
        </w:rPr>
        <w:t xml:space="preserve">os violentos atentados que afetaram recentemente à República do Equador e reiteraram seu compromisso de fortalecer a cooperação para combater o terrorismo em todas suas formas e manifestações, a violência proveniente do crime e do crime organizado transnacional; </w:t>
      </w:r>
    </w:p>
    <w:p w14:paraId="211B948F" w14:textId="391C91D8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43. RENOVARAM</w:t>
      </w:r>
      <w:r>
        <w:rPr>
          <w:rFonts w:ascii="Arial" w:hAnsi="Arial"/>
          <w:sz w:val="24"/>
        </w:rPr>
        <w:t xml:space="preserve"> o interesse em aprofundar os trabalhos para a harmonização normativa internacional, tendentes a facilitar as relações jurídicas internacionais em matéria de família, considerando os ordenamentos jurídicos de cada um dos países, bem como no relativo à cooperação jurídica internacional em matéria penal, com ênfase na proteção de pessoas em situação de vulnerabilidade</w:t>
      </w:r>
      <w:r>
        <w:rPr>
          <w:rFonts w:ascii="Arial" w:hAnsi="Arial"/>
          <w:b/>
          <w:sz w:val="24"/>
        </w:rPr>
        <w:t xml:space="preserve">; </w:t>
      </w:r>
    </w:p>
    <w:p w14:paraId="3A1EE427" w14:textId="4FD4E7E9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44. REITERARAM </w:t>
      </w:r>
      <w:r>
        <w:rPr>
          <w:rFonts w:ascii="Arial" w:hAnsi="Arial"/>
          <w:sz w:val="24"/>
        </w:rPr>
        <w:t xml:space="preserve">a necessidade de seguir fortalecendo os laços interinstitucionais e unir esforços para seguir avançando na transparência institucional. Igualmente, ressaltaram os avanços em matéria de informação consolidada com respeito às estruturas de Controle Interno dos estados partes e estados associados do MERCOSUL; </w:t>
      </w:r>
    </w:p>
    <w:p w14:paraId="421E2051" w14:textId="37EA081B" w:rsidR="00C20850" w:rsidRPr="00482318" w:rsidRDefault="00C20850" w:rsidP="00AB1FD7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45. REAFIRMARAM </w:t>
      </w:r>
      <w:r>
        <w:rPr>
          <w:rFonts w:ascii="Arial" w:hAnsi="Arial"/>
          <w:sz w:val="24"/>
        </w:rPr>
        <w:t xml:space="preserve">o acesso à educação como um direito humano fundamental que contribui ao desenvolvimento integral das pessoas e dos povos. Nossos estados fizeram frente à irrupção da pandemia de COVID-19 nos sistemas educacionais, o que robusteceu nosso compromisso de impulsionar </w:t>
      </w:r>
      <w:r w:rsidR="00367FCD">
        <w:rPr>
          <w:rFonts w:ascii="Arial" w:hAnsi="Arial"/>
          <w:sz w:val="24"/>
        </w:rPr>
        <w:t>o fortalecimento</w:t>
      </w:r>
      <w:r>
        <w:rPr>
          <w:rFonts w:ascii="Arial" w:hAnsi="Arial"/>
          <w:sz w:val="24"/>
        </w:rPr>
        <w:t xml:space="preserve"> dos sistemas educacionais regionais, que permita aprofundar os grandes passos dados para garantir uma educação igualitária e de qualidade para todas as pessoas ao longo da vida. Destacamos que o âmbito do MERCOSUL propicia espaços valiosos de intercâmbio de experiências e cooperação regional para a atenção integral da primeira infância, a permanência e finalização da educação básica, a integração nas zonas de fronteira, a educação técnica e profissional, a qualidade da educação superior, a mobilidade regional, o reconhecimento de estudos em todos os níveis educacionais, entre outras prioridades. Estamos seguros de que a educação é uma das políticas públicas que nos permitirá construir um futuro compartilhado em benefício de nossas populações; </w:t>
      </w:r>
    </w:p>
    <w:p w14:paraId="39FB3900" w14:textId="6A00DC6F" w:rsidR="004F4EB8" w:rsidRPr="00482318" w:rsidRDefault="00482318" w:rsidP="00482318">
      <w:pPr>
        <w:spacing w:before="240" w:after="240"/>
        <w:ind w:left="284" w:hanging="284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b/>
          <w:sz w:val="24"/>
        </w:rPr>
        <w:t xml:space="preserve">46. RATIFICARAM </w:t>
      </w:r>
      <w:r>
        <w:rPr>
          <w:rFonts w:ascii="Arial" w:hAnsi="Arial"/>
          <w:sz w:val="24"/>
        </w:rPr>
        <w:t xml:space="preserve">a disposição dos estados em seguir trabalhando em prol da igualdade e da equidade de gênero, em conformidade e em consonância com o estabelecido nos acordos internacionais na matéria, a partir de uma </w:t>
      </w:r>
      <w:r w:rsidR="001C7486">
        <w:rPr>
          <w:rFonts w:ascii="Arial" w:hAnsi="Arial"/>
          <w:sz w:val="24"/>
        </w:rPr>
        <w:t>perspectiva de</w:t>
      </w:r>
      <w:r>
        <w:rPr>
          <w:rFonts w:ascii="Arial" w:hAnsi="Arial"/>
          <w:sz w:val="24"/>
        </w:rPr>
        <w:t xml:space="preserve"> avançar nesses direitos;  </w:t>
      </w:r>
    </w:p>
    <w:p w14:paraId="64F60A28" w14:textId="5B19A582" w:rsidR="00AB7298" w:rsidRPr="00482318" w:rsidRDefault="00066745" w:rsidP="00482318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47. REAFIRMARAM </w:t>
      </w:r>
      <w:r>
        <w:rPr>
          <w:rFonts w:ascii="Arial" w:hAnsi="Arial"/>
          <w:sz w:val="24"/>
        </w:rPr>
        <w:t xml:space="preserve">o compromisso de prevenir, punir e erradicar a violência baseada em gênero de acordo com as obrigações assumidas na Convenção Interamericana para prevenir, punir e erradicar a violência contra a mulher, e ressaltaram a importância da ratificação para que prontamente vigore o "Acordo sobre Reconhecimento Mútuo de </w:t>
      </w:r>
      <w:r>
        <w:rPr>
          <w:rFonts w:ascii="Arial" w:hAnsi="Arial"/>
          <w:sz w:val="24"/>
        </w:rPr>
        <w:lastRenderedPageBreak/>
        <w:t>Medidas de Proteção para as Mulheres em Situação de Violência de Gênero entre os Estados Partes do MERCOSUL e Estados Associados” (Decisão CMC N° 07/22), que se constitui no primeiro acordo MERCOSUL específico para a proteção das mulheres e toda pessoa em situação de violência de gênero e, como tal, representa um marco na defesa do direito a uma vida livre de violência por razões de gênero no MERCOSUL;</w:t>
      </w:r>
    </w:p>
    <w:p w14:paraId="534BDA0D" w14:textId="0B0397D0" w:rsidR="00AB1FD7" w:rsidRPr="00482318" w:rsidRDefault="00066745" w:rsidP="00846D8D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48. CONGRATULARAM </w:t>
      </w:r>
      <w:r>
        <w:rPr>
          <w:rFonts w:ascii="Arial" w:hAnsi="Arial"/>
          <w:sz w:val="24"/>
        </w:rPr>
        <w:t>o lançamento da segunda edição da campanha “MERCOSUL Livre de Tráfico”, elaborada pela Reunião de Ministras e Altas Autoridades da Mulher do MERCOSUL, como o resultado do trabalho permanente de cooperação entre os estados partes do bloco, no âmbito dos compromissos assumidos de prevenção e combate do tráfico de pessoas, a proteção e atendimento de suas vítimas, conforme o estabelecido no Protocolo para prevenir, reprimir e sancionar o tráfico de pessoas, especialmente mulheres e crianças (Protocolo de Palermo);</w:t>
      </w:r>
    </w:p>
    <w:p w14:paraId="54803D43" w14:textId="53E56820" w:rsidR="00C20850" w:rsidRPr="00482318" w:rsidRDefault="006550F4" w:rsidP="00C20850">
      <w:pPr>
        <w:spacing w:before="240" w:after="240"/>
        <w:ind w:left="284" w:hanging="284"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hAnsi="Arial"/>
          <w:b/>
          <w:sz w:val="24"/>
        </w:rPr>
        <w:t xml:space="preserve">49. DESTACARAM </w:t>
      </w:r>
      <w:r>
        <w:rPr>
          <w:rFonts w:ascii="Arial" w:hAnsi="Arial"/>
          <w:sz w:val="24"/>
        </w:rPr>
        <w:t>a elaboração da iniciativa conjunta para otimizar a assistência consular aos compatriotas ante futuras crises e conflitos,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e para criar um “comitê de crise” que permita uma reação imediata e coordenada, bem como aprofundar a cooperação que os países implementaram por ocasião da Copa do Mundo do Catar 2022; </w:t>
      </w:r>
    </w:p>
    <w:p w14:paraId="56BB26A7" w14:textId="62296DC4" w:rsidR="00C20850" w:rsidRPr="00482318" w:rsidRDefault="00C20850" w:rsidP="00482318">
      <w:pPr>
        <w:spacing w:before="240" w:after="240"/>
        <w:ind w:left="284"/>
        <w:jc w:val="both"/>
        <w:rPr>
          <w:rFonts w:ascii="Arial" w:eastAsia="Arial" w:hAnsi="Arial" w:cs="Arial"/>
          <w:b/>
          <w:iCs/>
          <w:color w:val="E36C0A"/>
          <w:sz w:val="24"/>
          <w:szCs w:val="24"/>
        </w:rPr>
      </w:pPr>
      <w:r>
        <w:rPr>
          <w:rFonts w:ascii="Arial" w:hAnsi="Arial"/>
          <w:sz w:val="24"/>
        </w:rPr>
        <w:t>Igualmente, sublinharam o potencial positivo de uma futura implementação do Acordo sobre o Mecanismo de Cooperação Consular entre os estados partes do MERCOSUL e os estados associados;</w:t>
      </w:r>
      <w:r>
        <w:rPr>
          <w:rFonts w:ascii="Arial" w:hAnsi="Arial"/>
          <w:b/>
          <w:sz w:val="24"/>
        </w:rPr>
        <w:t xml:space="preserve"> </w:t>
      </w:r>
    </w:p>
    <w:p w14:paraId="64C6C369" w14:textId="62E0EBEE" w:rsidR="00C20850" w:rsidRPr="00482318" w:rsidRDefault="00A704FD" w:rsidP="00C20850">
      <w:pPr>
        <w:spacing w:before="240" w:after="240"/>
        <w:ind w:left="284" w:hanging="284"/>
        <w:jc w:val="both"/>
        <w:rPr>
          <w:rFonts w:ascii="Arial" w:eastAsia="Arial" w:hAnsi="Arial" w:cs="Arial"/>
          <w:iCs/>
          <w:color w:val="FF0000"/>
          <w:sz w:val="24"/>
          <w:szCs w:val="24"/>
        </w:rPr>
      </w:pPr>
      <w:r>
        <w:rPr>
          <w:rFonts w:ascii="Arial" w:hAnsi="Arial"/>
          <w:b/>
          <w:sz w:val="24"/>
        </w:rPr>
        <w:t>50. MANIFESTARAM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o interesse na retomada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das reuniões do Grupo de Trabalho sobre Armas de Fogo e Munições (GTAFM), a fim de continuar impulsionando a coordenação de políticas entre os países do MERCOSUL e associados, incluindo os distintos âmbitos, tanto regionais quanto internacionais;  </w:t>
      </w:r>
    </w:p>
    <w:p w14:paraId="1064F271" w14:textId="34483411" w:rsidR="00C20850" w:rsidRPr="00482318" w:rsidRDefault="007A45C6" w:rsidP="00C20850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51. REAFIRMARAM</w:t>
      </w:r>
      <w:r>
        <w:rPr>
          <w:rFonts w:ascii="Arial" w:hAnsi="Arial"/>
          <w:sz w:val="24"/>
        </w:rPr>
        <w:t xml:space="preserve"> os termos da Declaração dos Presidentes dos estados partes do MERCOSUL, da República da Bolívia e da República do Chile, assinada em 25 de junho de 1996 em </w:t>
      </w:r>
      <w:proofErr w:type="spellStart"/>
      <w:r>
        <w:rPr>
          <w:rFonts w:ascii="Arial" w:hAnsi="Arial"/>
          <w:sz w:val="24"/>
        </w:rPr>
        <w:t>Potrero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los</w:t>
      </w:r>
      <w:proofErr w:type="spellEnd"/>
      <w:r>
        <w:rPr>
          <w:rFonts w:ascii="Arial" w:hAnsi="Arial"/>
          <w:sz w:val="24"/>
        </w:rPr>
        <w:t xml:space="preserve"> Funes, República Argentina, denominada Declaração sobre as Malvinas, e reiteraram seu respaldo aos legítimos direitos da República Argentina na disputa de soberania relativa à Questão das Ilhas Malvinas;</w:t>
      </w:r>
    </w:p>
    <w:p w14:paraId="0BB59CB7" w14:textId="43599DFD" w:rsidR="00C20850" w:rsidRPr="00482318" w:rsidRDefault="00C20850" w:rsidP="00C20850">
      <w:pPr>
        <w:spacing w:before="240" w:after="24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52. DESTACARAM </w:t>
      </w:r>
      <w:r>
        <w:rPr>
          <w:rFonts w:ascii="Arial" w:hAnsi="Arial"/>
          <w:sz w:val="24"/>
        </w:rPr>
        <w:t xml:space="preserve">que a adoção de medidas unilaterais, incluindo a exploração </w:t>
      </w:r>
      <w:r w:rsidR="003E1CB1">
        <w:rPr>
          <w:rFonts w:ascii="Arial" w:hAnsi="Arial"/>
          <w:sz w:val="24"/>
        </w:rPr>
        <w:t xml:space="preserve">e aproveitamento </w:t>
      </w:r>
      <w:r>
        <w:rPr>
          <w:rFonts w:ascii="Arial" w:hAnsi="Arial"/>
          <w:sz w:val="24"/>
        </w:rPr>
        <w:t>de recursos naturais renováveis e não renováveis da área em controvérsia, não é compatível com o acordado nas Nações Unidas, e reconheceram o direito que assiste à República Argentina de promover ações legais, com pleno respeito ao Direito Internacional, contra as atividades não autorizadas na referida área;</w:t>
      </w:r>
      <w:r>
        <w:rPr>
          <w:rFonts w:ascii="Arial" w:hAnsi="Arial"/>
          <w:b/>
          <w:sz w:val="24"/>
        </w:rPr>
        <w:t xml:space="preserve"> </w:t>
      </w:r>
    </w:p>
    <w:p w14:paraId="562B1E09" w14:textId="05470F53" w:rsidR="00DE5B8D" w:rsidRPr="00482318" w:rsidRDefault="00C20850" w:rsidP="00A704FD">
      <w:pPr>
        <w:spacing w:before="240" w:after="24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</w:rPr>
        <w:t>53. REITERARAM</w:t>
      </w:r>
      <w:r>
        <w:rPr>
          <w:rFonts w:ascii="Arial" w:hAnsi="Arial"/>
          <w:sz w:val="24"/>
        </w:rPr>
        <w:t xml:space="preserve"> o interesse regional em que a prolongada disputa de soberania entre a República Argentina e o Reino Unido da Grã-Bretanha e Irlanda do Norte sobre as Ilhas Malvinas, Geórgia do Sul, </w:t>
      </w:r>
      <w:proofErr w:type="spellStart"/>
      <w:r>
        <w:rPr>
          <w:rFonts w:ascii="Arial" w:hAnsi="Arial"/>
          <w:sz w:val="24"/>
        </w:rPr>
        <w:t>Sandwich</w:t>
      </w:r>
      <w:proofErr w:type="spellEnd"/>
      <w:r>
        <w:rPr>
          <w:rFonts w:ascii="Arial" w:hAnsi="Arial"/>
          <w:sz w:val="24"/>
        </w:rPr>
        <w:t xml:space="preserve"> do Sul e os espaços marítimos circundantes, </w:t>
      </w:r>
      <w:r>
        <w:rPr>
          <w:rFonts w:ascii="Arial" w:hAnsi="Arial"/>
          <w:sz w:val="24"/>
        </w:rPr>
        <w:lastRenderedPageBreak/>
        <w:t>alcance o quanto antes uma solução, em conformidade com as resoluções pertinentes das Nações Unidas e as declarações da Organização dos Estados Americanos e outros foros regionais e multilaterais.</w:t>
      </w:r>
    </w:p>
    <w:sectPr w:rsidR="00DE5B8D" w:rsidRPr="00482318" w:rsidSect="00850B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931A" w14:textId="77777777" w:rsidR="00771ED1" w:rsidRDefault="00771ED1">
      <w:pPr>
        <w:spacing w:after="0" w:line="240" w:lineRule="auto"/>
      </w:pPr>
      <w:r>
        <w:separator/>
      </w:r>
    </w:p>
  </w:endnote>
  <w:endnote w:type="continuationSeparator" w:id="0">
    <w:p w14:paraId="6F22F9C6" w14:textId="77777777" w:rsidR="00771ED1" w:rsidRDefault="0077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7A18" w14:textId="77777777" w:rsidR="00850B2A" w:rsidRDefault="00850B2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F19B6" w:rsidRPr="002F19B6">
      <w:t>16</w:t>
    </w:r>
    <w:r>
      <w:fldChar w:fldCharType="end"/>
    </w:r>
  </w:p>
  <w:p w14:paraId="65739FEA" w14:textId="77777777" w:rsidR="00850B2A" w:rsidRDefault="00850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F843" w14:textId="77777777" w:rsidR="00771ED1" w:rsidRDefault="00771ED1">
      <w:pPr>
        <w:spacing w:after="0" w:line="240" w:lineRule="auto"/>
      </w:pPr>
      <w:r>
        <w:separator/>
      </w:r>
    </w:p>
  </w:footnote>
  <w:footnote w:type="continuationSeparator" w:id="0">
    <w:p w14:paraId="7D3CB344" w14:textId="77777777" w:rsidR="00771ED1" w:rsidRDefault="0077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21" w14:textId="77777777" w:rsidR="00850B2A" w:rsidRDefault="00E72F61">
    <w:pPr>
      <w:pStyle w:val="Encabezado"/>
    </w:pPr>
    <w:r>
      <w:pict w14:anchorId="635A1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2F35" w14:textId="77777777" w:rsidR="00850B2A" w:rsidRDefault="00E72F61">
    <w:pPr>
      <w:pStyle w:val="Encabezado"/>
    </w:pPr>
    <w:r>
      <w:pict w14:anchorId="119E1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1.7pt;z-index:-251655168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3B15" w14:textId="77777777" w:rsidR="00850B2A" w:rsidRDefault="00E72F61">
    <w:pPr>
      <w:pStyle w:val="Encabezado"/>
    </w:pPr>
    <w:r>
      <w:pict w14:anchorId="78C41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769D"/>
    <w:multiLevelType w:val="hybridMultilevel"/>
    <w:tmpl w:val="A5E84936"/>
    <w:lvl w:ilvl="0" w:tplc="F1422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70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50"/>
    <w:rsid w:val="00020EE0"/>
    <w:rsid w:val="00026249"/>
    <w:rsid w:val="00065BC0"/>
    <w:rsid w:val="00066745"/>
    <w:rsid w:val="000671C5"/>
    <w:rsid w:val="00081CDF"/>
    <w:rsid w:val="000A5A3A"/>
    <w:rsid w:val="000C7AC6"/>
    <w:rsid w:val="000D2277"/>
    <w:rsid w:val="001000AF"/>
    <w:rsid w:val="001369D9"/>
    <w:rsid w:val="00194E0C"/>
    <w:rsid w:val="001A1D2D"/>
    <w:rsid w:val="001B332F"/>
    <w:rsid w:val="001B4631"/>
    <w:rsid w:val="001C2649"/>
    <w:rsid w:val="001C67B8"/>
    <w:rsid w:val="001C7486"/>
    <w:rsid w:val="001E59D0"/>
    <w:rsid w:val="00214A63"/>
    <w:rsid w:val="00261AD6"/>
    <w:rsid w:val="0027466D"/>
    <w:rsid w:val="00285D47"/>
    <w:rsid w:val="002B62A9"/>
    <w:rsid w:val="002E0A74"/>
    <w:rsid w:val="002E30A7"/>
    <w:rsid w:val="002F19B6"/>
    <w:rsid w:val="002F658A"/>
    <w:rsid w:val="00320D82"/>
    <w:rsid w:val="00321F78"/>
    <w:rsid w:val="0033226F"/>
    <w:rsid w:val="00367FCD"/>
    <w:rsid w:val="003A31EA"/>
    <w:rsid w:val="003A47FD"/>
    <w:rsid w:val="003E1CB1"/>
    <w:rsid w:val="003E510C"/>
    <w:rsid w:val="00427373"/>
    <w:rsid w:val="00461D13"/>
    <w:rsid w:val="00482318"/>
    <w:rsid w:val="004A0320"/>
    <w:rsid w:val="004D06FF"/>
    <w:rsid w:val="004D2D25"/>
    <w:rsid w:val="004E2A72"/>
    <w:rsid w:val="004E63C4"/>
    <w:rsid w:val="004F4EB8"/>
    <w:rsid w:val="005010B1"/>
    <w:rsid w:val="00503B9D"/>
    <w:rsid w:val="005109DC"/>
    <w:rsid w:val="00536794"/>
    <w:rsid w:val="00557632"/>
    <w:rsid w:val="00571B6F"/>
    <w:rsid w:val="005D644C"/>
    <w:rsid w:val="005E0053"/>
    <w:rsid w:val="005F1520"/>
    <w:rsid w:val="005F1D3F"/>
    <w:rsid w:val="00631333"/>
    <w:rsid w:val="00654FCF"/>
    <w:rsid w:val="006550F4"/>
    <w:rsid w:val="006801A7"/>
    <w:rsid w:val="006C3267"/>
    <w:rsid w:val="006E5D2A"/>
    <w:rsid w:val="006F5FED"/>
    <w:rsid w:val="00720201"/>
    <w:rsid w:val="007711DD"/>
    <w:rsid w:val="00771ED1"/>
    <w:rsid w:val="007A45C6"/>
    <w:rsid w:val="007B4254"/>
    <w:rsid w:val="007C39EE"/>
    <w:rsid w:val="007C5196"/>
    <w:rsid w:val="00844873"/>
    <w:rsid w:val="00846D8D"/>
    <w:rsid w:val="00850B2A"/>
    <w:rsid w:val="008658CA"/>
    <w:rsid w:val="00866866"/>
    <w:rsid w:val="0088049D"/>
    <w:rsid w:val="008D70CF"/>
    <w:rsid w:val="009471EF"/>
    <w:rsid w:val="00956495"/>
    <w:rsid w:val="00970B92"/>
    <w:rsid w:val="00977462"/>
    <w:rsid w:val="00A1244D"/>
    <w:rsid w:val="00A17060"/>
    <w:rsid w:val="00A36F55"/>
    <w:rsid w:val="00A51770"/>
    <w:rsid w:val="00A704FD"/>
    <w:rsid w:val="00AB1FD7"/>
    <w:rsid w:val="00AB7298"/>
    <w:rsid w:val="00AC4790"/>
    <w:rsid w:val="00AD2D04"/>
    <w:rsid w:val="00AE529C"/>
    <w:rsid w:val="00B131BE"/>
    <w:rsid w:val="00B20576"/>
    <w:rsid w:val="00B41278"/>
    <w:rsid w:val="00B53F75"/>
    <w:rsid w:val="00B7082A"/>
    <w:rsid w:val="00BB2F2C"/>
    <w:rsid w:val="00BC17BA"/>
    <w:rsid w:val="00C06AAA"/>
    <w:rsid w:val="00C20850"/>
    <w:rsid w:val="00C3085F"/>
    <w:rsid w:val="00C371FF"/>
    <w:rsid w:val="00D427CB"/>
    <w:rsid w:val="00D87FC6"/>
    <w:rsid w:val="00DA7DB2"/>
    <w:rsid w:val="00DC2F02"/>
    <w:rsid w:val="00DC798E"/>
    <w:rsid w:val="00DE5B8D"/>
    <w:rsid w:val="00E11A0A"/>
    <w:rsid w:val="00E27369"/>
    <w:rsid w:val="00E7274B"/>
    <w:rsid w:val="00E72F61"/>
    <w:rsid w:val="00E845DC"/>
    <w:rsid w:val="00EC70B0"/>
    <w:rsid w:val="00F21E29"/>
    <w:rsid w:val="00F44E9E"/>
    <w:rsid w:val="00FC69D2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FB57"/>
  <w15:docId w15:val="{9A113A51-BC3C-41AC-812D-C3E65AA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0850"/>
    <w:pPr>
      <w:tabs>
        <w:tab w:val="center" w:pos="4252"/>
        <w:tab w:val="right" w:pos="8504"/>
      </w:tabs>
      <w:spacing w:line="288" w:lineRule="auto"/>
    </w:pPr>
    <w:rPr>
      <w:rFonts w:ascii="Calibri" w:eastAsia="Times New Roman" w:hAnsi="Calibri" w:cs="Times New Roman"/>
      <w:sz w:val="21"/>
      <w:szCs w:val="21"/>
      <w:lang w:eastAsia="es-UY"/>
    </w:rPr>
  </w:style>
  <w:style w:type="character" w:customStyle="1" w:styleId="EncabezadoCar">
    <w:name w:val="Encabezado Car"/>
    <w:basedOn w:val="Fuentedeprrafopredeter"/>
    <w:link w:val="Encabezado"/>
    <w:rsid w:val="00C20850"/>
    <w:rPr>
      <w:rFonts w:ascii="Calibri" w:eastAsia="Times New Roman" w:hAnsi="Calibri" w:cs="Times New Roman"/>
      <w:sz w:val="21"/>
      <w:szCs w:val="21"/>
      <w:lang w:val="pt-BR" w:eastAsia="es-UY"/>
    </w:rPr>
  </w:style>
  <w:style w:type="paragraph" w:styleId="Piedepgina">
    <w:name w:val="footer"/>
    <w:basedOn w:val="Normal"/>
    <w:link w:val="PiedepginaCar"/>
    <w:uiPriority w:val="99"/>
    <w:rsid w:val="00C20850"/>
    <w:pPr>
      <w:tabs>
        <w:tab w:val="center" w:pos="4252"/>
        <w:tab w:val="right" w:pos="8504"/>
      </w:tabs>
      <w:spacing w:line="288" w:lineRule="auto"/>
    </w:pPr>
    <w:rPr>
      <w:rFonts w:ascii="Calibri" w:eastAsia="Times New Roman" w:hAnsi="Calibri" w:cs="Times New Roman"/>
      <w:sz w:val="21"/>
      <w:szCs w:val="21"/>
      <w:lang w:eastAsia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0850"/>
    <w:rPr>
      <w:rFonts w:ascii="Calibri" w:eastAsia="Times New Roman" w:hAnsi="Calibri" w:cs="Times New Roman"/>
      <w:sz w:val="21"/>
      <w:szCs w:val="21"/>
      <w:lang w:val="pt-BR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4BC8-23C3-41F2-8B26-6284126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4210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Cassia Pires</cp:lastModifiedBy>
  <cp:revision>24</cp:revision>
  <dcterms:created xsi:type="dcterms:W3CDTF">2022-12-01T20:17:00Z</dcterms:created>
  <dcterms:modified xsi:type="dcterms:W3CDTF">2022-12-06T12:55:00Z</dcterms:modified>
</cp:coreProperties>
</file>