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DC2" w:rsidRPr="00584E28" w:rsidRDefault="005E43FA">
      <w:pPr>
        <w:spacing w:before="120" w:after="120" w:line="240" w:lineRule="auto"/>
        <w:jc w:val="center"/>
        <w:rPr>
          <w:rFonts w:ascii="Arial" w:eastAsia="Arial" w:hAnsi="Arial" w:cs="Arial"/>
          <w:b/>
          <w:sz w:val="24"/>
          <w:szCs w:val="24"/>
          <w:lang w:val="es-ES_tradnl"/>
        </w:rPr>
      </w:pPr>
      <w:r w:rsidRPr="00584E28">
        <w:rPr>
          <w:rFonts w:ascii="Arial" w:eastAsia="Arial" w:hAnsi="Arial" w:cs="Arial"/>
          <w:b/>
          <w:sz w:val="24"/>
          <w:szCs w:val="24"/>
          <w:lang w:val="es-ES_tradnl"/>
        </w:rPr>
        <w:t>COMUNICADO CONJUNTO DE LOS PRESIDENTES DE LOS ESTADOS PARTES DEL MERCOSUR</w:t>
      </w:r>
    </w:p>
    <w:p w:rsidR="00DF2DC2" w:rsidRPr="00584E28" w:rsidRDefault="00DF2DC2">
      <w:pPr>
        <w:spacing w:before="120" w:after="120" w:line="240" w:lineRule="auto"/>
        <w:jc w:val="both"/>
        <w:rPr>
          <w:rFonts w:ascii="Arial" w:eastAsia="Arial" w:hAnsi="Arial" w:cs="Arial"/>
          <w:b/>
          <w:sz w:val="24"/>
          <w:szCs w:val="24"/>
          <w:lang w:val="es-ES_tradnl"/>
        </w:rPr>
      </w:pPr>
    </w:p>
    <w:p w:rsidR="00DF2DC2" w:rsidRPr="00584E28" w:rsidRDefault="005E43FA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584E28">
        <w:rPr>
          <w:rFonts w:ascii="Arial" w:eastAsia="Arial" w:hAnsi="Arial" w:cs="Arial"/>
          <w:sz w:val="24"/>
          <w:szCs w:val="24"/>
          <w:lang w:val="es-ES_tradnl"/>
        </w:rPr>
        <w:t xml:space="preserve">Los Presidentes de los Estados Partes del MERCOSUR, Mauricio Macri de la República Argentina, Michel Temer de la República Federativa del Brasil, Horacio Cartes de la República del Paraguay y Tabaré Vázquez Rosas de la República Oriental del Uruguay, realizaron una evaluación de la situación del proceso de integración regional en ocasión de la Cumbre de Presidentes del MERCOSUR, </w:t>
      </w:r>
      <w:r w:rsidR="00637FAB" w:rsidRPr="00584E28">
        <w:rPr>
          <w:rFonts w:ascii="Arial" w:eastAsia="Arial" w:hAnsi="Arial" w:cs="Arial"/>
          <w:sz w:val="24"/>
          <w:szCs w:val="24"/>
          <w:lang w:val="es-ES_tradnl"/>
        </w:rPr>
        <w:t>celebrada</w:t>
      </w:r>
      <w:r w:rsidRPr="00584E28">
        <w:rPr>
          <w:rFonts w:ascii="Arial" w:eastAsia="Arial" w:hAnsi="Arial" w:cs="Arial"/>
          <w:sz w:val="24"/>
          <w:szCs w:val="24"/>
          <w:lang w:val="es-ES_tradnl"/>
        </w:rPr>
        <w:t xml:space="preserve"> en Mendoza el 21 de julio de 2017.</w:t>
      </w:r>
    </w:p>
    <w:p w:rsidR="00DF2DC2" w:rsidRPr="00584E28" w:rsidRDefault="005E43FA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584E28">
        <w:rPr>
          <w:rFonts w:ascii="Arial" w:eastAsia="Arial" w:hAnsi="Arial" w:cs="Arial"/>
          <w:sz w:val="24"/>
          <w:szCs w:val="24"/>
          <w:lang w:val="es-ES_tradnl"/>
        </w:rPr>
        <w:t>Ratificaron su firme compromiso de reforzar la integración comercial, la plena vigencia de las instituciones democráticas y el respeto de los derechos humanos como pilares fundacionales del MERCOSUR.</w:t>
      </w:r>
      <w:r w:rsidRPr="00584E28">
        <w:rPr>
          <w:rFonts w:ascii="Arial" w:eastAsia="Arial" w:hAnsi="Arial" w:cs="Arial"/>
          <w:sz w:val="24"/>
          <w:szCs w:val="24"/>
          <w:highlight w:val="yellow"/>
          <w:lang w:val="es-ES_tradnl"/>
        </w:rPr>
        <w:t xml:space="preserve"> </w:t>
      </w:r>
    </w:p>
    <w:p w:rsidR="00DF2DC2" w:rsidRPr="00584E28" w:rsidRDefault="005E43FA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584E28">
        <w:rPr>
          <w:rFonts w:ascii="Arial" w:eastAsia="Arial" w:hAnsi="Arial" w:cs="Arial"/>
          <w:sz w:val="24"/>
          <w:szCs w:val="24"/>
          <w:lang w:val="es-ES_tradnl"/>
        </w:rPr>
        <w:t>Coincidieron en impulsar medidas que potencien el intercambio comercial como eje del crecimiento económico y del desarrollo productivo y social, poniendo foco en las economías regionales y asumiendo el compromiso compartido de priorizar el agregado de valor a la oferta exportable de los socios.</w:t>
      </w:r>
    </w:p>
    <w:p w:rsidR="00DF2DC2" w:rsidRPr="00584E28" w:rsidRDefault="00DF2DC2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</w:p>
    <w:p w:rsidR="00DF2DC2" w:rsidRPr="00584E28" w:rsidRDefault="005E43FA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584E28">
        <w:rPr>
          <w:rFonts w:ascii="Arial" w:eastAsia="Arial" w:hAnsi="Arial" w:cs="Arial"/>
          <w:b/>
          <w:sz w:val="24"/>
          <w:szCs w:val="24"/>
          <w:lang w:val="es-ES_tradnl"/>
        </w:rPr>
        <w:t>LOGROS</w:t>
      </w:r>
    </w:p>
    <w:p w:rsidR="00DF2DC2" w:rsidRPr="00584E28" w:rsidRDefault="005E43FA">
      <w:pPr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584E28">
        <w:rPr>
          <w:rFonts w:ascii="Arial" w:eastAsia="Arial" w:hAnsi="Arial" w:cs="Arial"/>
          <w:sz w:val="24"/>
          <w:szCs w:val="24"/>
          <w:lang w:val="es-ES_tradnl"/>
        </w:rPr>
        <w:t>Los Presidentes destacaron los avances más relevantes durante el primer semestre:</w:t>
      </w:r>
    </w:p>
    <w:p w:rsidR="00DF2DC2" w:rsidRPr="00584E28" w:rsidRDefault="005E43FA">
      <w:pPr>
        <w:numPr>
          <w:ilvl w:val="0"/>
          <w:numId w:val="1"/>
        </w:numPr>
        <w:tabs>
          <w:tab w:val="left" w:pos="426"/>
          <w:tab w:val="left" w:pos="3828"/>
        </w:tabs>
        <w:spacing w:before="120" w:after="120" w:line="240" w:lineRule="auto"/>
        <w:ind w:left="426" w:hanging="360"/>
        <w:jc w:val="both"/>
        <w:rPr>
          <w:sz w:val="24"/>
          <w:szCs w:val="24"/>
          <w:lang w:val="es-ES_tradnl"/>
        </w:rPr>
      </w:pPr>
      <w:r w:rsidRPr="00584E28">
        <w:rPr>
          <w:rFonts w:ascii="Arial" w:eastAsia="Arial" w:hAnsi="Arial" w:cs="Arial"/>
          <w:sz w:val="24"/>
          <w:szCs w:val="24"/>
          <w:lang w:val="es-ES_tradnl"/>
        </w:rPr>
        <w:t>Suscripción del Protocolo de Cooperación y Facilitación de Inversiones intra-</w:t>
      </w:r>
      <w:r w:rsidR="00DB019C" w:rsidRPr="00584E28">
        <w:rPr>
          <w:rFonts w:ascii="Arial" w:eastAsia="Arial" w:hAnsi="Arial" w:cs="Arial"/>
          <w:sz w:val="24"/>
          <w:szCs w:val="24"/>
          <w:lang w:val="es-ES_tradnl"/>
        </w:rPr>
        <w:t>MERCOSUR, que</w:t>
      </w:r>
      <w:r w:rsidRPr="00584E28">
        <w:rPr>
          <w:rFonts w:ascii="Arial" w:eastAsia="Arial" w:hAnsi="Arial" w:cs="Arial"/>
          <w:sz w:val="24"/>
          <w:szCs w:val="24"/>
          <w:lang w:val="es-ES_tradnl"/>
        </w:rPr>
        <w:t xml:space="preserve"> establece condiciones jurídicas comunes destinadas a facilitar y fomentar las inversiones recíprocas y atraer las extra-regionales, por intermedio de reglas transparentes de trato a las inversiones, intercambio de informaciones y cooperación entre las partes.</w:t>
      </w:r>
    </w:p>
    <w:p w:rsidR="00DF2DC2" w:rsidRPr="00584E28" w:rsidRDefault="005E43FA">
      <w:pPr>
        <w:numPr>
          <w:ilvl w:val="0"/>
          <w:numId w:val="1"/>
        </w:numPr>
        <w:tabs>
          <w:tab w:val="left" w:pos="426"/>
          <w:tab w:val="left" w:pos="3828"/>
        </w:tabs>
        <w:spacing w:before="120" w:after="120" w:line="240" w:lineRule="auto"/>
        <w:ind w:left="426" w:hanging="360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584E28">
        <w:rPr>
          <w:rFonts w:ascii="Arial" w:eastAsia="Arial" w:hAnsi="Arial" w:cs="Arial"/>
          <w:sz w:val="24"/>
          <w:szCs w:val="24"/>
          <w:lang w:val="es-ES_tradnl"/>
        </w:rPr>
        <w:t>Acuerdo sobre el tratamiento y definición de cursos de acción para un conjunto de medidas que permitirán hacer más fluido el comercio intrazona y que fueron identificadas en el Plan de Acción para el Fortalecimiento del MERCOSUR Comercial y Económico, aprobado en 2015.</w:t>
      </w:r>
    </w:p>
    <w:p w:rsidR="00DF2DC2" w:rsidRPr="00584E28" w:rsidRDefault="005E43FA" w:rsidP="0057666D">
      <w:pPr>
        <w:numPr>
          <w:ilvl w:val="0"/>
          <w:numId w:val="1"/>
        </w:numPr>
        <w:tabs>
          <w:tab w:val="left" w:pos="426"/>
          <w:tab w:val="left" w:pos="3828"/>
        </w:tabs>
        <w:spacing w:before="120" w:after="120" w:line="240" w:lineRule="auto"/>
        <w:ind w:left="499" w:hanging="357"/>
        <w:jc w:val="both"/>
        <w:rPr>
          <w:sz w:val="24"/>
          <w:szCs w:val="24"/>
          <w:lang w:val="es-ES_tradnl"/>
        </w:rPr>
      </w:pPr>
      <w:r w:rsidRPr="00584E28">
        <w:rPr>
          <w:rFonts w:ascii="Arial" w:eastAsia="Arial" w:hAnsi="Arial" w:cs="Arial"/>
          <w:sz w:val="24"/>
          <w:szCs w:val="24"/>
          <w:lang w:val="es-ES_tradnl"/>
        </w:rPr>
        <w:t>Impulso de la agenda externa económica y comercial internacional del MERCOSUR, a través de:</w:t>
      </w:r>
    </w:p>
    <w:p w:rsidR="00DF2DC2" w:rsidRPr="00584E28" w:rsidRDefault="005E43FA">
      <w:pPr>
        <w:numPr>
          <w:ilvl w:val="1"/>
          <w:numId w:val="1"/>
        </w:numPr>
        <w:tabs>
          <w:tab w:val="left" w:pos="426"/>
          <w:tab w:val="left" w:pos="3828"/>
        </w:tabs>
        <w:spacing w:before="120" w:after="120" w:line="240" w:lineRule="auto"/>
        <w:ind w:hanging="360"/>
        <w:jc w:val="both"/>
        <w:rPr>
          <w:sz w:val="24"/>
          <w:szCs w:val="24"/>
          <w:lang w:val="es-ES_tradnl"/>
        </w:rPr>
      </w:pPr>
      <w:r w:rsidRPr="00584E28">
        <w:rPr>
          <w:rFonts w:ascii="Arial" w:eastAsia="Arial" w:hAnsi="Arial" w:cs="Arial"/>
          <w:sz w:val="24"/>
          <w:szCs w:val="24"/>
          <w:lang w:val="es-ES_tradnl"/>
        </w:rPr>
        <w:t>La realización de cuatro rondas de negociación que permitieron la obtención de avances en las negociaciones con la Unión Europea con el objetivo de alcanzar el Acuerdo Birregional a fin del año en curso.</w:t>
      </w:r>
    </w:p>
    <w:p w:rsidR="00DF2DC2" w:rsidRPr="00584E28" w:rsidRDefault="005E43FA">
      <w:pPr>
        <w:numPr>
          <w:ilvl w:val="1"/>
          <w:numId w:val="1"/>
        </w:numPr>
        <w:tabs>
          <w:tab w:val="left" w:pos="426"/>
          <w:tab w:val="left" w:pos="3828"/>
        </w:tabs>
        <w:spacing w:before="120" w:after="120" w:line="240" w:lineRule="auto"/>
        <w:ind w:hanging="360"/>
        <w:jc w:val="both"/>
        <w:rPr>
          <w:sz w:val="24"/>
          <w:szCs w:val="24"/>
          <w:lang w:val="es-ES_tradnl"/>
        </w:rPr>
      </w:pPr>
      <w:r w:rsidRPr="00584E28">
        <w:rPr>
          <w:rFonts w:ascii="Arial" w:eastAsia="Arial" w:hAnsi="Arial" w:cs="Arial"/>
          <w:sz w:val="24"/>
          <w:szCs w:val="24"/>
          <w:lang w:val="es-ES_tradnl"/>
        </w:rPr>
        <w:t>Inicio de la negociación para un acuerdo de libre comercio con la Asociación Europea de Libre Comercio (EFTA), que integran Islandia, Liechtenstein, Noruega y Suiza.</w:t>
      </w:r>
    </w:p>
    <w:p w:rsidR="00DF2DC2" w:rsidRPr="00584E28" w:rsidRDefault="005E43FA" w:rsidP="0057666D">
      <w:pPr>
        <w:numPr>
          <w:ilvl w:val="1"/>
          <w:numId w:val="1"/>
        </w:numPr>
        <w:tabs>
          <w:tab w:val="left" w:pos="426"/>
          <w:tab w:val="left" w:pos="3828"/>
        </w:tabs>
        <w:spacing w:before="120" w:after="120" w:line="240" w:lineRule="auto"/>
        <w:ind w:left="1219" w:hanging="357"/>
        <w:jc w:val="both"/>
        <w:rPr>
          <w:sz w:val="24"/>
          <w:szCs w:val="24"/>
          <w:lang w:val="es-ES_tradnl"/>
        </w:rPr>
      </w:pPr>
      <w:r w:rsidRPr="00584E28">
        <w:rPr>
          <w:rFonts w:ascii="Arial" w:eastAsia="Arial" w:hAnsi="Arial" w:cs="Arial"/>
          <w:sz w:val="24"/>
          <w:szCs w:val="24"/>
          <w:lang w:val="es-ES_tradnl"/>
        </w:rPr>
        <w:t xml:space="preserve">Aproximación con la Alianza del Pacífico y definición de </w:t>
      </w:r>
      <w:r w:rsidR="00DC1649" w:rsidRPr="00584E28">
        <w:rPr>
          <w:rFonts w:ascii="Arial" w:eastAsia="Arial" w:hAnsi="Arial" w:cs="Arial"/>
          <w:sz w:val="24"/>
          <w:szCs w:val="24"/>
          <w:lang w:val="es-ES_tradnl"/>
        </w:rPr>
        <w:t>acciones</w:t>
      </w:r>
      <w:r w:rsidRPr="00584E28">
        <w:rPr>
          <w:rFonts w:ascii="Arial" w:eastAsia="Arial" w:hAnsi="Arial" w:cs="Arial"/>
          <w:sz w:val="24"/>
          <w:szCs w:val="24"/>
          <w:lang w:val="es-ES_tradnl"/>
        </w:rPr>
        <w:t xml:space="preserve"> específicas de trabajo </w:t>
      </w:r>
      <w:r w:rsidR="00DC1649" w:rsidRPr="00584E28">
        <w:rPr>
          <w:rFonts w:ascii="Arial" w:eastAsia="Arial" w:hAnsi="Arial" w:cs="Arial"/>
          <w:sz w:val="24"/>
          <w:szCs w:val="24"/>
          <w:lang w:val="es-ES_tradnl"/>
        </w:rPr>
        <w:t xml:space="preserve">en el marco de la hoja de ruta acordada </w:t>
      </w:r>
      <w:r w:rsidRPr="00584E28">
        <w:rPr>
          <w:rFonts w:ascii="Arial" w:eastAsia="Arial" w:hAnsi="Arial" w:cs="Arial"/>
          <w:sz w:val="24"/>
          <w:szCs w:val="24"/>
          <w:lang w:val="es-ES_tradnl"/>
        </w:rPr>
        <w:t>para potenciar las relaciones económicas entre ambas agrupaciones.</w:t>
      </w:r>
    </w:p>
    <w:p w:rsidR="00DF2DC2" w:rsidRPr="00584E28" w:rsidRDefault="005E43FA" w:rsidP="0057666D">
      <w:pPr>
        <w:numPr>
          <w:ilvl w:val="1"/>
          <w:numId w:val="1"/>
        </w:numPr>
        <w:tabs>
          <w:tab w:val="left" w:pos="426"/>
          <w:tab w:val="left" w:pos="3828"/>
        </w:tabs>
        <w:spacing w:before="120" w:after="120" w:line="240" w:lineRule="auto"/>
        <w:ind w:left="1219" w:hanging="357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584E28">
        <w:rPr>
          <w:rFonts w:ascii="Arial" w:eastAsia="Arial" w:hAnsi="Arial" w:cs="Arial"/>
          <w:sz w:val="24"/>
          <w:szCs w:val="24"/>
          <w:lang w:val="es-ES_tradnl"/>
        </w:rPr>
        <w:lastRenderedPageBreak/>
        <w:t>Suscripción del Acuerdo de Complementación Económica con Colombia, con el fin de ampliar y profundizar la integración regional.</w:t>
      </w:r>
    </w:p>
    <w:p w:rsidR="00DF2DC2" w:rsidRPr="00584E28" w:rsidRDefault="005E43FA" w:rsidP="0057666D">
      <w:pPr>
        <w:numPr>
          <w:ilvl w:val="1"/>
          <w:numId w:val="1"/>
        </w:numPr>
        <w:tabs>
          <w:tab w:val="left" w:pos="426"/>
          <w:tab w:val="left" w:pos="3828"/>
        </w:tabs>
        <w:spacing w:before="120" w:after="120" w:line="240" w:lineRule="auto"/>
        <w:ind w:left="1219" w:hanging="357"/>
        <w:jc w:val="both"/>
        <w:rPr>
          <w:sz w:val="24"/>
          <w:szCs w:val="24"/>
          <w:lang w:val="es-ES_tradnl"/>
        </w:rPr>
      </w:pPr>
      <w:r w:rsidRPr="00584E28">
        <w:rPr>
          <w:rFonts w:ascii="Arial" w:eastAsia="Arial" w:hAnsi="Arial" w:cs="Arial"/>
          <w:sz w:val="24"/>
          <w:szCs w:val="24"/>
          <w:lang w:val="es-ES_tradnl"/>
        </w:rPr>
        <w:t>Avances en el diálogo exploratorio con Canadá con miras a la negociación de un acuerdo de libre comercio.</w:t>
      </w:r>
      <w:r w:rsidRPr="00584E28">
        <w:rPr>
          <w:rFonts w:ascii="Arial" w:eastAsia="Arial" w:hAnsi="Arial" w:cs="Arial"/>
          <w:sz w:val="24"/>
          <w:szCs w:val="24"/>
          <w:highlight w:val="yellow"/>
          <w:lang w:val="es-ES_tradnl"/>
        </w:rPr>
        <w:t xml:space="preserve"> </w:t>
      </w:r>
    </w:p>
    <w:p w:rsidR="00DF2DC2" w:rsidRPr="00584E28" w:rsidRDefault="005E43FA" w:rsidP="0057666D">
      <w:pPr>
        <w:numPr>
          <w:ilvl w:val="1"/>
          <w:numId w:val="1"/>
        </w:numPr>
        <w:tabs>
          <w:tab w:val="left" w:pos="426"/>
          <w:tab w:val="left" w:pos="3828"/>
        </w:tabs>
        <w:spacing w:before="120" w:after="120" w:line="240" w:lineRule="auto"/>
        <w:ind w:left="1219" w:hanging="357"/>
        <w:jc w:val="both"/>
        <w:rPr>
          <w:sz w:val="24"/>
          <w:szCs w:val="24"/>
          <w:lang w:val="es-ES_tradnl"/>
        </w:rPr>
      </w:pPr>
      <w:r w:rsidRPr="00584E28">
        <w:rPr>
          <w:rFonts w:ascii="Arial" w:eastAsia="Arial" w:hAnsi="Arial" w:cs="Arial"/>
          <w:sz w:val="24"/>
          <w:szCs w:val="24"/>
          <w:lang w:val="es-ES_tradnl"/>
        </w:rPr>
        <w:t>Avances en los trabajos intra-MERCOSUR para la ampliación del Acuerdo vigente con India orientados a incluir preferencias comerciales para un mayor número de bienes.</w:t>
      </w:r>
    </w:p>
    <w:p w:rsidR="00DF2DC2" w:rsidRPr="00584E28" w:rsidRDefault="005E43FA">
      <w:pPr>
        <w:numPr>
          <w:ilvl w:val="1"/>
          <w:numId w:val="1"/>
        </w:numPr>
        <w:tabs>
          <w:tab w:val="left" w:pos="426"/>
          <w:tab w:val="left" w:pos="3828"/>
        </w:tabs>
        <w:spacing w:before="120" w:after="120" w:line="240" w:lineRule="auto"/>
        <w:ind w:hanging="360"/>
        <w:jc w:val="both"/>
        <w:rPr>
          <w:sz w:val="24"/>
          <w:szCs w:val="24"/>
          <w:lang w:val="es-ES_tradnl"/>
        </w:rPr>
      </w:pPr>
      <w:r w:rsidRPr="00584E28">
        <w:rPr>
          <w:rFonts w:ascii="Arial" w:eastAsia="Arial" w:hAnsi="Arial" w:cs="Arial"/>
          <w:sz w:val="24"/>
          <w:szCs w:val="24"/>
          <w:lang w:val="es-ES_tradnl"/>
        </w:rPr>
        <w:t>Establecimiento de nuevos canales de diálogo con Australia - Nueva Zelandia (CER) y Japón para identificar nichos y áreas de interés mutuo para explorar posibles asociaciones.</w:t>
      </w:r>
    </w:p>
    <w:p w:rsidR="00DF2DC2" w:rsidRPr="00584E28" w:rsidRDefault="00472207" w:rsidP="00A22286">
      <w:pPr>
        <w:numPr>
          <w:ilvl w:val="1"/>
          <w:numId w:val="1"/>
        </w:numPr>
        <w:tabs>
          <w:tab w:val="left" w:pos="426"/>
          <w:tab w:val="left" w:pos="3828"/>
        </w:tabs>
        <w:spacing w:before="120" w:after="120" w:line="240" w:lineRule="auto"/>
        <w:ind w:left="1219" w:hanging="357"/>
        <w:jc w:val="both"/>
        <w:rPr>
          <w:sz w:val="24"/>
          <w:szCs w:val="24"/>
          <w:lang w:val="es-ES_tradnl"/>
        </w:rPr>
      </w:pPr>
      <w:r w:rsidRPr="00584E28">
        <w:rPr>
          <w:rFonts w:ascii="Arial" w:eastAsia="Arial" w:hAnsi="Arial" w:cs="Arial"/>
          <w:sz w:val="24"/>
          <w:szCs w:val="24"/>
          <w:lang w:val="es-ES_tradnl"/>
        </w:rPr>
        <w:t>Finalización</w:t>
      </w:r>
      <w:r w:rsidR="005E43FA" w:rsidRPr="00584E28">
        <w:rPr>
          <w:rFonts w:ascii="Arial" w:eastAsia="Arial" w:hAnsi="Arial" w:cs="Arial"/>
          <w:sz w:val="24"/>
          <w:szCs w:val="24"/>
          <w:lang w:val="es-ES_tradnl"/>
        </w:rPr>
        <w:t xml:space="preserve"> del diálogo exploratorio con la República de Corea para un eventual acuerdo comercial.</w:t>
      </w:r>
    </w:p>
    <w:p w:rsidR="00DF2DC2" w:rsidRPr="00584E28" w:rsidRDefault="005E43FA" w:rsidP="00A22286">
      <w:pPr>
        <w:numPr>
          <w:ilvl w:val="1"/>
          <w:numId w:val="1"/>
        </w:numPr>
        <w:tabs>
          <w:tab w:val="left" w:pos="426"/>
          <w:tab w:val="left" w:pos="3828"/>
        </w:tabs>
        <w:spacing w:before="120" w:after="120" w:line="240" w:lineRule="auto"/>
        <w:ind w:left="1219" w:hanging="357"/>
        <w:jc w:val="both"/>
        <w:rPr>
          <w:sz w:val="24"/>
          <w:szCs w:val="24"/>
          <w:lang w:val="es-ES_tradnl"/>
        </w:rPr>
      </w:pPr>
      <w:r w:rsidRPr="00584E28">
        <w:rPr>
          <w:rFonts w:ascii="Arial" w:eastAsia="Arial" w:hAnsi="Arial" w:cs="Arial"/>
          <w:sz w:val="24"/>
          <w:szCs w:val="24"/>
          <w:lang w:val="es-ES_tradnl"/>
        </w:rPr>
        <w:t>Mejoras en la administración del Acuerdo recientemente vigente con la Unión Aduanera del África Austral (SACU).</w:t>
      </w:r>
    </w:p>
    <w:p w:rsidR="00DF2DC2" w:rsidRPr="00584E28" w:rsidRDefault="005E43FA">
      <w:pPr>
        <w:numPr>
          <w:ilvl w:val="1"/>
          <w:numId w:val="1"/>
        </w:numPr>
        <w:tabs>
          <w:tab w:val="left" w:pos="426"/>
          <w:tab w:val="left" w:pos="3828"/>
        </w:tabs>
        <w:spacing w:before="120" w:after="120" w:line="240" w:lineRule="auto"/>
        <w:ind w:hanging="360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584E28">
        <w:rPr>
          <w:rFonts w:ascii="Arial" w:eastAsia="Arial" w:hAnsi="Arial" w:cs="Arial"/>
          <w:sz w:val="24"/>
          <w:szCs w:val="24"/>
          <w:lang w:val="es-ES_tradnl"/>
        </w:rPr>
        <w:t>La pronta entrada en vigor del acuerdo de libre comercio con Egipto</w:t>
      </w:r>
      <w:r w:rsidR="00B1579E" w:rsidRPr="00584E28">
        <w:rPr>
          <w:rFonts w:ascii="Arial" w:eastAsia="Arial" w:hAnsi="Arial" w:cs="Arial"/>
          <w:sz w:val="24"/>
          <w:szCs w:val="24"/>
          <w:lang w:val="es-ES_tradnl"/>
        </w:rPr>
        <w:t>.</w:t>
      </w:r>
    </w:p>
    <w:p w:rsidR="00DF2DC2" w:rsidRPr="00584E28" w:rsidRDefault="005E43FA" w:rsidP="00A22286">
      <w:pPr>
        <w:numPr>
          <w:ilvl w:val="0"/>
          <w:numId w:val="1"/>
        </w:numPr>
        <w:tabs>
          <w:tab w:val="left" w:pos="426"/>
          <w:tab w:val="left" w:pos="3828"/>
        </w:tabs>
        <w:spacing w:before="120" w:after="120" w:line="240" w:lineRule="auto"/>
        <w:ind w:left="499" w:hanging="357"/>
        <w:jc w:val="both"/>
        <w:rPr>
          <w:sz w:val="24"/>
          <w:szCs w:val="24"/>
          <w:lang w:val="es-ES_tradnl"/>
        </w:rPr>
      </w:pPr>
      <w:r w:rsidRPr="00584E28">
        <w:rPr>
          <w:rFonts w:ascii="Arial" w:eastAsia="Arial" w:hAnsi="Arial" w:cs="Arial"/>
          <w:sz w:val="24"/>
          <w:szCs w:val="24"/>
          <w:lang w:val="es-ES_tradnl"/>
        </w:rPr>
        <w:t>Acuerdo para modernizar el proceso de elaboración, revisión y derogación de los Reglamentos Técnicos del MERCOSUR, con miras a facilitar el intercambio comercial intrazona, así como mejorar la competitividad del MERCOSUR a nivel internacional.</w:t>
      </w:r>
    </w:p>
    <w:p w:rsidR="00DF2DC2" w:rsidRPr="00584E28" w:rsidRDefault="005E43FA" w:rsidP="00A22286">
      <w:pPr>
        <w:numPr>
          <w:ilvl w:val="0"/>
          <w:numId w:val="1"/>
        </w:numPr>
        <w:tabs>
          <w:tab w:val="left" w:pos="426"/>
          <w:tab w:val="left" w:pos="3828"/>
        </w:tabs>
        <w:spacing w:before="120" w:after="120" w:line="240" w:lineRule="auto"/>
        <w:ind w:left="499" w:hanging="357"/>
        <w:jc w:val="both"/>
        <w:rPr>
          <w:sz w:val="24"/>
          <w:szCs w:val="24"/>
          <w:lang w:val="es-ES_tradnl"/>
        </w:rPr>
      </w:pPr>
      <w:r w:rsidRPr="00584E28">
        <w:rPr>
          <w:rFonts w:ascii="Arial" w:eastAsia="Arial" w:hAnsi="Arial" w:cs="Arial"/>
          <w:sz w:val="24"/>
          <w:szCs w:val="24"/>
          <w:lang w:val="es-ES_tradnl"/>
        </w:rPr>
        <w:t xml:space="preserve">Aprobación </w:t>
      </w:r>
      <w:r w:rsidR="00B1579E" w:rsidRPr="00584E28">
        <w:rPr>
          <w:rFonts w:ascii="Arial" w:eastAsia="Arial" w:hAnsi="Arial" w:cs="Arial"/>
          <w:sz w:val="24"/>
          <w:szCs w:val="24"/>
          <w:lang w:val="es-ES_tradnl"/>
        </w:rPr>
        <w:t xml:space="preserve">de </w:t>
      </w:r>
      <w:r w:rsidRPr="00584E28">
        <w:rPr>
          <w:rFonts w:ascii="Arial" w:eastAsia="Arial" w:hAnsi="Arial" w:cs="Arial"/>
          <w:sz w:val="24"/>
          <w:szCs w:val="24"/>
          <w:lang w:val="es-ES_tradnl"/>
        </w:rPr>
        <w:t>proyectos del Fondo para la Convergencia Estructural del MERCOSUR (FOCEM) que incluyen rehabilitación de rutas de Uruguay, el fortalecimiento del Instituto de Políticas Públicas en Derechos Humanos (IPPDH) y el proyecto de Línea de Transmisión 500 kV de gran importancia para el Paraguay, lo cual implica un significativo ahorro de recursos económicos.</w:t>
      </w:r>
    </w:p>
    <w:p w:rsidR="00DF2DC2" w:rsidRPr="00584E28" w:rsidRDefault="00B1579E" w:rsidP="00A22286">
      <w:pPr>
        <w:numPr>
          <w:ilvl w:val="0"/>
          <w:numId w:val="1"/>
        </w:numPr>
        <w:tabs>
          <w:tab w:val="left" w:pos="426"/>
          <w:tab w:val="left" w:pos="3828"/>
        </w:tabs>
        <w:spacing w:before="120" w:after="120" w:line="240" w:lineRule="auto"/>
        <w:ind w:left="499" w:hanging="357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584E28">
        <w:rPr>
          <w:rFonts w:ascii="Arial" w:eastAsia="Arial" w:hAnsi="Arial" w:cs="Arial"/>
          <w:sz w:val="24"/>
          <w:szCs w:val="24"/>
          <w:lang w:val="es-ES_tradnl"/>
        </w:rPr>
        <w:t xml:space="preserve">Suscripción </w:t>
      </w:r>
      <w:r w:rsidR="005E43FA" w:rsidRPr="00584E28">
        <w:rPr>
          <w:rFonts w:ascii="Arial" w:eastAsia="Arial" w:hAnsi="Arial" w:cs="Arial"/>
          <w:sz w:val="24"/>
          <w:szCs w:val="24"/>
          <w:lang w:val="es-ES_tradnl"/>
        </w:rPr>
        <w:t xml:space="preserve">de los acuerdos de Cooperación con la Organización para la Alimentación y la Agricultura (FAO), con la CAF - Banco de Desarrollo de América Latina y con el Instituto Interamericano de Cooperación para la Agricultura (IICA), que ofrecerán beneficios concretos para los Estados Partes y ciudadanos del MERCOSUR. </w:t>
      </w:r>
    </w:p>
    <w:p w:rsidR="00DF2DC2" w:rsidRPr="00584E28" w:rsidRDefault="005E43FA" w:rsidP="00A22286">
      <w:pPr>
        <w:numPr>
          <w:ilvl w:val="0"/>
          <w:numId w:val="1"/>
        </w:numPr>
        <w:tabs>
          <w:tab w:val="left" w:pos="426"/>
          <w:tab w:val="left" w:pos="3828"/>
        </w:tabs>
        <w:spacing w:before="120" w:after="120" w:line="240" w:lineRule="auto"/>
        <w:ind w:left="499" w:hanging="357"/>
        <w:jc w:val="both"/>
        <w:rPr>
          <w:sz w:val="24"/>
          <w:szCs w:val="24"/>
          <w:lang w:val="es-ES_tradnl"/>
        </w:rPr>
      </w:pPr>
      <w:r w:rsidRPr="00584E28">
        <w:rPr>
          <w:rFonts w:ascii="Arial" w:eastAsia="Arial" w:hAnsi="Arial" w:cs="Arial"/>
          <w:sz w:val="24"/>
          <w:szCs w:val="24"/>
          <w:lang w:val="es-ES_tradnl"/>
        </w:rPr>
        <w:t>Creación de la Unidad de Comunicación e Información del MERCOSUR, como instrumento para la difusión de los avances en el proceso de integración y los beneficios que representa para los ciudadanos de la región.</w:t>
      </w:r>
    </w:p>
    <w:p w:rsidR="00DF2DC2" w:rsidRPr="00584E28" w:rsidRDefault="005E43FA" w:rsidP="00A22286">
      <w:pPr>
        <w:numPr>
          <w:ilvl w:val="0"/>
          <w:numId w:val="1"/>
        </w:numPr>
        <w:tabs>
          <w:tab w:val="left" w:pos="426"/>
          <w:tab w:val="left" w:pos="3828"/>
        </w:tabs>
        <w:spacing w:before="120" w:after="120" w:line="240" w:lineRule="auto"/>
        <w:ind w:left="499" w:hanging="357"/>
        <w:jc w:val="both"/>
        <w:rPr>
          <w:sz w:val="24"/>
          <w:szCs w:val="24"/>
          <w:lang w:val="es-ES_tradnl"/>
        </w:rPr>
      </w:pPr>
      <w:r w:rsidRPr="00584E28">
        <w:rPr>
          <w:rFonts w:ascii="Arial" w:eastAsia="Arial" w:hAnsi="Arial" w:cs="Arial"/>
          <w:sz w:val="24"/>
          <w:szCs w:val="24"/>
          <w:lang w:val="es-ES_tradnl"/>
        </w:rPr>
        <w:t>Optimización de la estructura institucional y racionalización de los recursos humanos y financieros del MERCOSUR.</w:t>
      </w:r>
    </w:p>
    <w:p w:rsidR="00DF2DC2" w:rsidRPr="00584E28" w:rsidRDefault="00DF2DC2">
      <w:pPr>
        <w:tabs>
          <w:tab w:val="left" w:pos="0"/>
          <w:tab w:val="left" w:pos="426"/>
          <w:tab w:val="left" w:pos="3828"/>
        </w:tabs>
        <w:spacing w:before="120" w:after="120" w:line="240" w:lineRule="auto"/>
        <w:jc w:val="both"/>
        <w:rPr>
          <w:rFonts w:ascii="Arial" w:eastAsia="Arial" w:hAnsi="Arial" w:cs="Arial"/>
          <w:b/>
          <w:sz w:val="24"/>
          <w:szCs w:val="24"/>
          <w:lang w:val="es-ES_tradnl"/>
        </w:rPr>
      </w:pPr>
    </w:p>
    <w:p w:rsidR="00DF2DC2" w:rsidRPr="00584E28" w:rsidRDefault="005E43FA">
      <w:pPr>
        <w:tabs>
          <w:tab w:val="left" w:pos="0"/>
          <w:tab w:val="left" w:pos="426"/>
          <w:tab w:val="left" w:pos="3828"/>
        </w:tabs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584E28">
        <w:rPr>
          <w:rFonts w:ascii="Arial" w:eastAsia="Arial" w:hAnsi="Arial" w:cs="Arial"/>
          <w:b/>
          <w:sz w:val="24"/>
          <w:szCs w:val="24"/>
          <w:lang w:val="es-ES_tradnl"/>
        </w:rPr>
        <w:t>DESAFÍOS</w:t>
      </w:r>
    </w:p>
    <w:p w:rsidR="00DF2DC2" w:rsidRPr="00584E28" w:rsidRDefault="005E43FA">
      <w:pPr>
        <w:tabs>
          <w:tab w:val="left" w:pos="0"/>
          <w:tab w:val="left" w:pos="426"/>
          <w:tab w:val="left" w:pos="3828"/>
        </w:tabs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584E28">
        <w:rPr>
          <w:rFonts w:ascii="Arial" w:eastAsia="Arial" w:hAnsi="Arial" w:cs="Arial"/>
          <w:sz w:val="24"/>
          <w:szCs w:val="24"/>
          <w:lang w:val="es-ES_tradnl"/>
        </w:rPr>
        <w:t>Los Presidentes identificaron algunos de los principales desafíos de la agenda común:</w:t>
      </w:r>
    </w:p>
    <w:p w:rsidR="00DF2DC2" w:rsidRPr="00584E28" w:rsidRDefault="005E43FA" w:rsidP="00146862">
      <w:pPr>
        <w:numPr>
          <w:ilvl w:val="0"/>
          <w:numId w:val="1"/>
        </w:numPr>
        <w:tabs>
          <w:tab w:val="left" w:pos="426"/>
          <w:tab w:val="left" w:pos="3828"/>
        </w:tabs>
        <w:spacing w:before="120" w:after="120" w:line="240" w:lineRule="auto"/>
        <w:ind w:left="425" w:hanging="357"/>
        <w:jc w:val="both"/>
        <w:rPr>
          <w:sz w:val="24"/>
          <w:szCs w:val="24"/>
          <w:lang w:val="es-ES_tradnl"/>
        </w:rPr>
      </w:pPr>
      <w:r w:rsidRPr="00584E28">
        <w:rPr>
          <w:rFonts w:ascii="Arial" w:eastAsia="Arial" w:hAnsi="Arial" w:cs="Arial"/>
          <w:sz w:val="24"/>
          <w:szCs w:val="24"/>
          <w:lang w:val="es-ES_tradnl"/>
        </w:rPr>
        <w:lastRenderedPageBreak/>
        <w:t>Concluir el acuerdo de Contrataciones Públicas intra-MERCOSUR durante el año en curso.</w:t>
      </w:r>
    </w:p>
    <w:p w:rsidR="00200F5B" w:rsidRPr="00584E28" w:rsidRDefault="00200F5B" w:rsidP="00146862">
      <w:pPr>
        <w:numPr>
          <w:ilvl w:val="0"/>
          <w:numId w:val="1"/>
        </w:numPr>
        <w:tabs>
          <w:tab w:val="left" w:pos="426"/>
          <w:tab w:val="left" w:pos="3828"/>
        </w:tabs>
        <w:spacing w:before="120" w:after="120" w:line="240" w:lineRule="auto"/>
        <w:ind w:left="425" w:hanging="357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584E28">
        <w:rPr>
          <w:rFonts w:ascii="Arial" w:eastAsia="Arial" w:hAnsi="Arial" w:cs="Arial"/>
          <w:sz w:val="24"/>
          <w:szCs w:val="24"/>
          <w:lang w:val="es-ES_tradnl"/>
        </w:rPr>
        <w:t xml:space="preserve">Fortalecer el libre comercio entre los Estados Partes y perfeccionar la Unión Aduanera como instrumentos para avanzar en el posicionamiento internacional competitivo del MERCOSUR. </w:t>
      </w:r>
    </w:p>
    <w:p w:rsidR="00DF2DC2" w:rsidRPr="00584E28" w:rsidRDefault="005E43FA" w:rsidP="00146862">
      <w:pPr>
        <w:numPr>
          <w:ilvl w:val="0"/>
          <w:numId w:val="1"/>
        </w:numPr>
        <w:tabs>
          <w:tab w:val="left" w:pos="426"/>
          <w:tab w:val="left" w:pos="3828"/>
        </w:tabs>
        <w:spacing w:before="120" w:after="120" w:line="240" w:lineRule="auto"/>
        <w:ind w:left="425" w:hanging="357"/>
        <w:jc w:val="both"/>
        <w:rPr>
          <w:sz w:val="24"/>
          <w:szCs w:val="24"/>
          <w:lang w:val="es-ES_tradnl"/>
        </w:rPr>
      </w:pPr>
      <w:r w:rsidRPr="00584E28">
        <w:rPr>
          <w:rFonts w:ascii="Arial" w:eastAsia="Arial" w:hAnsi="Arial" w:cs="Arial"/>
          <w:sz w:val="24"/>
          <w:szCs w:val="24"/>
          <w:lang w:val="es-ES_tradnl"/>
        </w:rPr>
        <w:t>Dinamizar el comercio de servicios intra-MERCOSUR e impulsar las conversaciones sobre comercio electrónico.</w:t>
      </w:r>
    </w:p>
    <w:p w:rsidR="00603E91" w:rsidRPr="00584E28" w:rsidRDefault="00603E91" w:rsidP="00146862">
      <w:pPr>
        <w:numPr>
          <w:ilvl w:val="0"/>
          <w:numId w:val="1"/>
        </w:numPr>
        <w:tabs>
          <w:tab w:val="left" w:pos="426"/>
          <w:tab w:val="left" w:pos="3828"/>
        </w:tabs>
        <w:spacing w:before="120" w:after="120" w:line="240" w:lineRule="auto"/>
        <w:ind w:left="425" w:hanging="357"/>
        <w:jc w:val="both"/>
        <w:rPr>
          <w:strike/>
          <w:sz w:val="24"/>
          <w:szCs w:val="24"/>
          <w:lang w:val="es-ES_tradnl"/>
        </w:rPr>
      </w:pPr>
      <w:r w:rsidRPr="00584E28">
        <w:rPr>
          <w:rFonts w:ascii="Arial" w:eastAsia="Arial" w:hAnsi="Arial" w:cs="Arial"/>
          <w:sz w:val="24"/>
          <w:szCs w:val="24"/>
          <w:lang w:val="es-ES_tradnl"/>
        </w:rPr>
        <w:t xml:space="preserve">Fortalecer el </w:t>
      </w:r>
      <w:r w:rsidR="00584E28" w:rsidRPr="00584E28">
        <w:rPr>
          <w:rFonts w:ascii="Arial" w:eastAsia="Arial" w:hAnsi="Arial" w:cs="Arial"/>
          <w:sz w:val="24"/>
          <w:szCs w:val="24"/>
          <w:lang w:val="es-ES_tradnl"/>
        </w:rPr>
        <w:t>marco institucional</w:t>
      </w:r>
      <w:r w:rsidRPr="00584E28">
        <w:rPr>
          <w:rFonts w:ascii="Arial" w:eastAsia="Arial" w:hAnsi="Arial" w:cs="Arial"/>
          <w:sz w:val="24"/>
          <w:szCs w:val="24"/>
          <w:lang w:val="es-ES_tradnl"/>
        </w:rPr>
        <w:t xml:space="preserve"> del FOCEM para su consolidación como herramienta para la reducción de las asimetrías entre los Estados Partes.  </w:t>
      </w:r>
    </w:p>
    <w:p w:rsidR="00DF2DC2" w:rsidRPr="00584E28" w:rsidRDefault="005E43FA" w:rsidP="00146862">
      <w:pPr>
        <w:numPr>
          <w:ilvl w:val="0"/>
          <w:numId w:val="1"/>
        </w:numPr>
        <w:tabs>
          <w:tab w:val="left" w:pos="426"/>
          <w:tab w:val="left" w:pos="3828"/>
        </w:tabs>
        <w:spacing w:before="120" w:after="120" w:line="240" w:lineRule="auto"/>
        <w:ind w:left="425" w:hanging="357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584E28">
        <w:rPr>
          <w:rFonts w:ascii="Arial" w:eastAsia="Arial" w:hAnsi="Arial" w:cs="Arial"/>
          <w:sz w:val="24"/>
          <w:szCs w:val="24"/>
          <w:lang w:val="es-ES_tradnl"/>
        </w:rPr>
        <w:t xml:space="preserve">Promover una agenda focalizada </w:t>
      </w:r>
      <w:r w:rsidR="00EB740F">
        <w:rPr>
          <w:rFonts w:ascii="Arial" w:eastAsia="Arial" w:hAnsi="Arial" w:cs="Arial"/>
          <w:sz w:val="24"/>
          <w:szCs w:val="24"/>
          <w:lang w:val="es-ES_tradnl"/>
        </w:rPr>
        <w:t>en</w:t>
      </w:r>
      <w:bookmarkStart w:id="0" w:name="_GoBack"/>
      <w:bookmarkEnd w:id="0"/>
      <w:r w:rsidRPr="00584E28">
        <w:rPr>
          <w:rFonts w:ascii="Arial" w:eastAsia="Arial" w:hAnsi="Arial" w:cs="Arial"/>
          <w:sz w:val="24"/>
          <w:szCs w:val="24"/>
          <w:lang w:val="es-ES_tradnl"/>
        </w:rPr>
        <w:t xml:space="preserve"> facilitación de comercio, internacionalización e inserción en cadenas globales de valor, con miras a generar nuevos puestos de trabajo</w:t>
      </w:r>
      <w:r w:rsidR="00603E91" w:rsidRPr="00584E28">
        <w:rPr>
          <w:rFonts w:ascii="Arial" w:eastAsia="Arial" w:hAnsi="Arial" w:cs="Arial"/>
          <w:sz w:val="24"/>
          <w:szCs w:val="24"/>
          <w:lang w:val="es-ES_tradnl"/>
        </w:rPr>
        <w:t>, en particular para las Peque</w:t>
      </w:r>
      <w:r w:rsidR="00146862">
        <w:rPr>
          <w:rFonts w:ascii="Arial" w:eastAsia="Arial" w:hAnsi="Arial" w:cs="Arial"/>
          <w:sz w:val="24"/>
          <w:szCs w:val="24"/>
          <w:lang w:val="es-ES_tradnl"/>
        </w:rPr>
        <w:t>ñas y Medianas Empresas (PYMES)</w:t>
      </w:r>
    </w:p>
    <w:p w:rsidR="00DF2DC2" w:rsidRPr="00584E28" w:rsidRDefault="005E43FA" w:rsidP="00146862">
      <w:pPr>
        <w:numPr>
          <w:ilvl w:val="0"/>
          <w:numId w:val="1"/>
        </w:numPr>
        <w:tabs>
          <w:tab w:val="left" w:pos="426"/>
          <w:tab w:val="left" w:pos="3828"/>
        </w:tabs>
        <w:spacing w:before="120" w:after="120" w:line="240" w:lineRule="auto"/>
        <w:ind w:left="425" w:hanging="357"/>
        <w:jc w:val="both"/>
        <w:rPr>
          <w:sz w:val="24"/>
          <w:szCs w:val="24"/>
          <w:lang w:val="es-ES_tradnl"/>
        </w:rPr>
      </w:pPr>
      <w:r w:rsidRPr="00584E28">
        <w:rPr>
          <w:rFonts w:ascii="Arial" w:eastAsia="Arial" w:hAnsi="Arial" w:cs="Arial"/>
          <w:sz w:val="24"/>
          <w:szCs w:val="24"/>
          <w:lang w:val="es-ES_tradnl"/>
        </w:rPr>
        <w:t>Potenciar la competitividad exportadora de la región a través de la disminución de costos productivos, logísticos y administrativos, tanto a nivel regional como nacional.</w:t>
      </w:r>
    </w:p>
    <w:p w:rsidR="00DF2DC2" w:rsidRPr="00584E28" w:rsidRDefault="005E43FA" w:rsidP="00146862">
      <w:pPr>
        <w:numPr>
          <w:ilvl w:val="0"/>
          <w:numId w:val="1"/>
        </w:numPr>
        <w:tabs>
          <w:tab w:val="left" w:pos="426"/>
          <w:tab w:val="left" w:pos="3828"/>
        </w:tabs>
        <w:spacing w:before="120" w:after="120" w:line="240" w:lineRule="auto"/>
        <w:ind w:left="425" w:hanging="357"/>
        <w:jc w:val="both"/>
        <w:rPr>
          <w:sz w:val="24"/>
          <w:szCs w:val="24"/>
          <w:lang w:val="es-ES_tradnl"/>
        </w:rPr>
      </w:pPr>
      <w:r w:rsidRPr="00584E28">
        <w:rPr>
          <w:rFonts w:ascii="Arial" w:eastAsia="Arial" w:hAnsi="Arial" w:cs="Arial"/>
          <w:sz w:val="24"/>
          <w:szCs w:val="24"/>
          <w:lang w:val="es-ES_tradnl"/>
        </w:rPr>
        <w:t>Facilitar los flujos comerciales y mejorar la competitividad internacional de los productos del MERCOSUR, mediante el análisis de las ventajas de la coherencia, convergencia y cooperación regulatorias.</w:t>
      </w:r>
    </w:p>
    <w:p w:rsidR="00DF2DC2" w:rsidRPr="00584E28" w:rsidRDefault="005E43FA" w:rsidP="00146862">
      <w:pPr>
        <w:numPr>
          <w:ilvl w:val="0"/>
          <w:numId w:val="1"/>
        </w:numPr>
        <w:tabs>
          <w:tab w:val="left" w:pos="426"/>
          <w:tab w:val="left" w:pos="3828"/>
        </w:tabs>
        <w:spacing w:before="120" w:after="120" w:line="240" w:lineRule="auto"/>
        <w:ind w:left="425" w:hanging="357"/>
        <w:jc w:val="both"/>
        <w:rPr>
          <w:rFonts w:ascii="Arial" w:eastAsia="Arial" w:hAnsi="Arial" w:cs="Arial"/>
          <w:sz w:val="24"/>
          <w:szCs w:val="24"/>
          <w:lang w:val="es-ES_tradnl"/>
        </w:rPr>
      </w:pPr>
      <w:r w:rsidRPr="00584E28">
        <w:rPr>
          <w:rFonts w:ascii="Arial" w:eastAsia="Arial" w:hAnsi="Arial" w:cs="Arial"/>
          <w:sz w:val="24"/>
          <w:szCs w:val="24"/>
          <w:lang w:val="es-ES_tradnl"/>
        </w:rPr>
        <w:t>Renovar la agenda de trabajo digital del MERCOSUR, con miras a incorporar temas de la economía digital y adecuarla a la transformación tecnológica que experimenta el mundo en ámbitos como: crecimiento e internacionalización de empresas, conectividad, gobierno y ciudadanía digital, entre otros.</w:t>
      </w:r>
    </w:p>
    <w:sectPr w:rsidR="00DF2DC2" w:rsidRPr="00584E28">
      <w:headerReference w:type="default" r:id="rId7"/>
      <w:footerReference w:type="default" r:id="rId8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C51" w:rsidRDefault="00986C51">
      <w:pPr>
        <w:spacing w:after="0" w:line="240" w:lineRule="auto"/>
      </w:pPr>
      <w:r>
        <w:separator/>
      </w:r>
    </w:p>
  </w:endnote>
  <w:endnote w:type="continuationSeparator" w:id="0">
    <w:p w:rsidR="00986C51" w:rsidRDefault="0098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DC2" w:rsidRDefault="005E43FA">
    <w:pPr>
      <w:jc w:val="right"/>
    </w:pPr>
    <w:r>
      <w:fldChar w:fldCharType="begin"/>
    </w:r>
    <w:r>
      <w:instrText>PAGE</w:instrText>
    </w:r>
    <w:r>
      <w:fldChar w:fldCharType="separate"/>
    </w:r>
    <w:r w:rsidR="00EB740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C51" w:rsidRDefault="00986C51">
      <w:pPr>
        <w:spacing w:after="0" w:line="240" w:lineRule="auto"/>
      </w:pPr>
      <w:r>
        <w:separator/>
      </w:r>
    </w:p>
  </w:footnote>
  <w:footnote w:type="continuationSeparator" w:id="0">
    <w:p w:rsidR="00986C51" w:rsidRDefault="00986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DC2" w:rsidRDefault="00DF2DC2"/>
  <w:p w:rsidR="00DF2DC2" w:rsidRDefault="00DF2DC2">
    <w:pPr>
      <w:rPr>
        <w:rFonts w:ascii="Arial" w:eastAsia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5EA1"/>
    <w:multiLevelType w:val="multilevel"/>
    <w:tmpl w:val="20AA80B2"/>
    <w:lvl w:ilvl="0">
      <w:numFmt w:val="bullet"/>
      <w:lvlText w:val="-"/>
      <w:lvlJc w:val="left"/>
      <w:pPr>
        <w:ind w:left="502" w:firstLine="14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222" w:firstLine="86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942" w:firstLine="158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662" w:firstLine="230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382" w:firstLine="302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102" w:firstLine="374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822" w:firstLine="446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542" w:firstLine="518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262" w:firstLine="5902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C2"/>
    <w:rsid w:val="00017A96"/>
    <w:rsid w:val="00146862"/>
    <w:rsid w:val="00200F5B"/>
    <w:rsid w:val="00472207"/>
    <w:rsid w:val="004967ED"/>
    <w:rsid w:val="005221CD"/>
    <w:rsid w:val="0057666D"/>
    <w:rsid w:val="00584E28"/>
    <w:rsid w:val="005E43FA"/>
    <w:rsid w:val="00603E91"/>
    <w:rsid w:val="00637FAB"/>
    <w:rsid w:val="006D3E86"/>
    <w:rsid w:val="00986443"/>
    <w:rsid w:val="00986C51"/>
    <w:rsid w:val="00A22286"/>
    <w:rsid w:val="00B1579E"/>
    <w:rsid w:val="00BA4EF4"/>
    <w:rsid w:val="00C541B8"/>
    <w:rsid w:val="00C939EA"/>
    <w:rsid w:val="00DB019C"/>
    <w:rsid w:val="00DC1649"/>
    <w:rsid w:val="00DF2DC2"/>
    <w:rsid w:val="00EB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A1BB8D"/>
  <w15:docId w15:val="{48F1D087-BB96-4EB7-A689-93CF6B54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UY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0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923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Frenkel</dc:creator>
  <cp:lastModifiedBy>Eliane Frenkel</cp:lastModifiedBy>
  <cp:revision>5</cp:revision>
  <dcterms:created xsi:type="dcterms:W3CDTF">2017-08-08T18:33:00Z</dcterms:created>
  <dcterms:modified xsi:type="dcterms:W3CDTF">2017-08-08T18:41:00Z</dcterms:modified>
</cp:coreProperties>
</file>